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6BF" w:rsidRDefault="00262BB4" w:rsidP="002116BF">
      <w:pPr>
        <w:pStyle w:val="MessageHeader"/>
        <w:spacing w:after="0" w:line="240" w:lineRule="auto"/>
      </w:pPr>
      <w:bookmarkStart w:id="0" w:name="_GoBack"/>
      <w:bookmarkEnd w:id="0"/>
      <w:r>
        <w:t>Date:</w:t>
      </w:r>
      <w:r>
        <w:tab/>
        <w:t>July</w:t>
      </w:r>
      <w:r w:rsidR="00232C10">
        <w:t xml:space="preserve"> 3</w:t>
      </w:r>
      <w:r>
        <w:t>1</w:t>
      </w:r>
      <w:r w:rsidR="00232C10">
        <w:t>, 2015</w:t>
      </w:r>
    </w:p>
    <w:p w:rsidR="002116BF" w:rsidRDefault="002116BF" w:rsidP="002116BF">
      <w:pPr>
        <w:pStyle w:val="MessageHeader"/>
        <w:spacing w:after="0" w:line="240" w:lineRule="auto"/>
        <w:rPr>
          <w:spacing w:val="-25"/>
        </w:rPr>
      </w:pPr>
    </w:p>
    <w:p w:rsidR="002116BF" w:rsidRDefault="002116BF" w:rsidP="002116BF">
      <w:pPr>
        <w:pStyle w:val="MessageHeader"/>
        <w:spacing w:after="0" w:line="240" w:lineRule="auto"/>
      </w:pPr>
      <w:r>
        <w:rPr>
          <w:spacing w:val="-25"/>
        </w:rPr>
        <w:t>T</w:t>
      </w:r>
      <w:r>
        <w:t>o:</w:t>
      </w:r>
      <w:r>
        <w:tab/>
        <w:t>HOME Consortia (Lead and Participating Local Governments)</w:t>
      </w:r>
    </w:p>
    <w:p w:rsidR="002116BF" w:rsidRDefault="002116BF" w:rsidP="002116BF">
      <w:pPr>
        <w:pStyle w:val="MessageHeader"/>
        <w:spacing w:after="0" w:line="240" w:lineRule="auto"/>
      </w:pPr>
      <w:r>
        <w:tab/>
        <w:t>Interested Parties</w:t>
      </w:r>
    </w:p>
    <w:p w:rsidR="002116BF" w:rsidRDefault="002116BF" w:rsidP="002116BF">
      <w:pPr>
        <w:pStyle w:val="MessageHeader"/>
        <w:spacing w:after="0" w:line="240" w:lineRule="auto"/>
      </w:pPr>
    </w:p>
    <w:p w:rsidR="002116BF" w:rsidRDefault="002116BF" w:rsidP="002116BF">
      <w:pPr>
        <w:pStyle w:val="MessageHeader"/>
        <w:spacing w:after="0" w:line="240" w:lineRule="auto"/>
      </w:pPr>
      <w:r>
        <w:t>From:</w:t>
      </w:r>
      <w:r>
        <w:tab/>
        <w:t xml:space="preserve">Bill </w:t>
      </w:r>
      <w:proofErr w:type="spellStart"/>
      <w:r>
        <w:t>Pluta</w:t>
      </w:r>
      <w:proofErr w:type="spellEnd"/>
      <w:r>
        <w:t>, Director</w:t>
      </w:r>
    </w:p>
    <w:p w:rsidR="002116BF" w:rsidRDefault="002116BF" w:rsidP="002116BF">
      <w:pPr>
        <w:pStyle w:val="MessageHeader"/>
        <w:spacing w:after="0" w:line="240" w:lineRule="auto"/>
      </w:pPr>
      <w:r>
        <w:tab/>
        <w:t>Office of Housing Coordination Services</w:t>
      </w:r>
    </w:p>
    <w:p w:rsidR="002116BF" w:rsidRDefault="002116BF" w:rsidP="002116BF">
      <w:pPr>
        <w:pStyle w:val="MessageHeader"/>
        <w:spacing w:after="0" w:line="240" w:lineRule="auto"/>
      </w:pPr>
    </w:p>
    <w:p w:rsidR="002116BF" w:rsidRDefault="002116BF" w:rsidP="002116BF">
      <w:pPr>
        <w:pStyle w:val="MessageHeader"/>
        <w:spacing w:after="0" w:line="240" w:lineRule="auto"/>
      </w:pPr>
      <w:r>
        <w:t>CC:</w:t>
      </w:r>
      <w:r>
        <w:tab/>
        <w:t xml:space="preserve">Mary R. Kenney, Executive Director, </w:t>
      </w:r>
      <w:proofErr w:type="gramStart"/>
      <w:r>
        <w:t>IHDA</w:t>
      </w:r>
      <w:proofErr w:type="gramEnd"/>
    </w:p>
    <w:p w:rsidR="002116BF" w:rsidRDefault="00481590" w:rsidP="002116BF">
      <w:pPr>
        <w:pStyle w:val="MessageHeader"/>
        <w:spacing w:after="0" w:line="240" w:lineRule="auto"/>
      </w:pPr>
      <w:r>
        <w:tab/>
        <w:t xml:space="preserve">Jerry </w:t>
      </w:r>
      <w:proofErr w:type="spellStart"/>
      <w:r>
        <w:t>Deese</w:t>
      </w:r>
      <w:proofErr w:type="spellEnd"/>
      <w:r w:rsidR="002116BF">
        <w:t xml:space="preserve">, </w:t>
      </w:r>
      <w:r w:rsidR="002116BF" w:rsidRPr="00AD7E1F">
        <w:t>HUD Representative, CPD, HUD</w:t>
      </w:r>
    </w:p>
    <w:p w:rsidR="002116BF" w:rsidRDefault="002116BF" w:rsidP="002116BF">
      <w:pPr>
        <w:pStyle w:val="MessageHeader"/>
        <w:spacing w:after="0" w:line="240" w:lineRule="auto"/>
      </w:pPr>
    </w:p>
    <w:p w:rsidR="0097504E" w:rsidRDefault="002116BF" w:rsidP="002116BF">
      <w:pPr>
        <w:spacing w:line="260" w:lineRule="exact"/>
      </w:pPr>
      <w:r>
        <w:t>Re:</w:t>
      </w:r>
      <w:r>
        <w:tab/>
        <w:t>HOME Consortium – State Certification</w:t>
      </w:r>
    </w:p>
    <w:p w:rsidR="002116BF" w:rsidRDefault="002116BF" w:rsidP="002116BF"/>
    <w:p w:rsidR="002116BF" w:rsidRDefault="002116BF" w:rsidP="002116BF"/>
    <w:p w:rsidR="002116BF" w:rsidRDefault="002116BF" w:rsidP="002116BF">
      <w:pPr>
        <w:jc w:val="both"/>
      </w:pPr>
      <w:r>
        <w:t>Per HUD’s most rece</w:t>
      </w:r>
      <w:r w:rsidR="00481590">
        <w:t>nt HOME Consortia Notice (CPD-13-002) dated April 9, 2013</w:t>
      </w:r>
      <w:r>
        <w:t>, the following current Participating Jurisdiction</w:t>
      </w:r>
      <w:r w:rsidR="00E1146E">
        <w:t>(</w:t>
      </w:r>
      <w:r>
        <w:t>s</w:t>
      </w:r>
      <w:r w:rsidR="00E1146E">
        <w:t>)</w:t>
      </w:r>
      <w:r>
        <w:t xml:space="preserve"> under the HOME Program must submit their Consortium Agreements to HUD’s State Office in Chicago </w:t>
      </w:r>
      <w:r w:rsidRPr="006569C4">
        <w:rPr>
          <w:b/>
        </w:rPr>
        <w:t>prior to Ju</w:t>
      </w:r>
      <w:r>
        <w:rPr>
          <w:b/>
        </w:rPr>
        <w:t>ne 30</w:t>
      </w:r>
      <w:r w:rsidRPr="006569C4">
        <w:rPr>
          <w:b/>
        </w:rPr>
        <w:t>, 20</w:t>
      </w:r>
      <w:r>
        <w:rPr>
          <w:b/>
        </w:rPr>
        <w:t>1</w:t>
      </w:r>
      <w:r w:rsidR="00232C10">
        <w:rPr>
          <w:b/>
        </w:rPr>
        <w:t>5</w:t>
      </w:r>
      <w:r>
        <w:t xml:space="preserve"> (unless otherwise extended by HUD, </w:t>
      </w:r>
      <w:r w:rsidRPr="003F07E9">
        <w:t>or their current agreement includes a clause for automatic renewal</w:t>
      </w:r>
      <w:r>
        <w:t>):</w:t>
      </w:r>
    </w:p>
    <w:p w:rsidR="002116BF" w:rsidRDefault="002116BF" w:rsidP="002116BF">
      <w:pPr>
        <w:jc w:val="both"/>
      </w:pPr>
    </w:p>
    <w:p w:rsidR="002116BF" w:rsidRDefault="00232C10" w:rsidP="003F07E9">
      <w:pPr>
        <w:ind w:left="720"/>
        <w:jc w:val="both"/>
      </w:pPr>
      <w:r>
        <w:t>-Urbana</w:t>
      </w:r>
      <w:r w:rsidR="002116BF">
        <w:t xml:space="preserve"> </w:t>
      </w:r>
      <w:r w:rsidR="00F27937">
        <w:tab/>
      </w:r>
      <w:r w:rsidR="003F07E9">
        <w:t>(current agreement does contain automatic renewal clause)</w:t>
      </w:r>
    </w:p>
    <w:p w:rsidR="002116BF" w:rsidRDefault="002116BF" w:rsidP="002116BF">
      <w:pPr>
        <w:jc w:val="both"/>
      </w:pPr>
    </w:p>
    <w:p w:rsidR="002116BF" w:rsidRDefault="002116BF" w:rsidP="002116BF">
      <w:pPr>
        <w:jc w:val="both"/>
      </w:pPr>
      <w:r>
        <w:rPr>
          <w:u w:val="single"/>
        </w:rPr>
        <w:t>Current</w:t>
      </w:r>
      <w:r>
        <w:t xml:space="preserve"> participating loc</w:t>
      </w:r>
      <w:r w:rsidR="00012F07">
        <w:t>al governments (through FFY 2015</w:t>
      </w:r>
      <w:r>
        <w:t>) of each consortium are indicated on the attached list (Attachment A).  Notices of Intent to apply for HOME funds as a proposed consortium, for an existing consortium that is adding members, or for a consortium that must sign a new HOME consortium agreemen</w:t>
      </w:r>
      <w:r w:rsidR="00232C10">
        <w:t>t, were due to HUD March 1, 2015</w:t>
      </w:r>
      <w:r>
        <w:t>.    Provided that subsequent deadlines can be met, the HUD Field Office may accept notification at a later date.</w:t>
      </w:r>
    </w:p>
    <w:p w:rsidR="002116BF" w:rsidRDefault="002116BF" w:rsidP="002116BF">
      <w:pPr>
        <w:jc w:val="both"/>
      </w:pPr>
    </w:p>
    <w:p w:rsidR="002116BF" w:rsidRDefault="002116BF" w:rsidP="002116BF">
      <w:pPr>
        <w:jc w:val="both"/>
      </w:pPr>
      <w:r>
        <w:t xml:space="preserve">To paraphrase HUD’s CPD Notice, an existing consortium must execute a new HOME consortium agreement and provide the required qualification documents (prior to the above- referenced </w:t>
      </w:r>
      <w:r>
        <w:rPr>
          <w:b/>
        </w:rPr>
        <w:t>June 30</w:t>
      </w:r>
      <w:r w:rsidRPr="001B158E">
        <w:rPr>
          <w:b/>
        </w:rPr>
        <w:t>, 20</w:t>
      </w:r>
      <w:r>
        <w:rPr>
          <w:b/>
        </w:rPr>
        <w:t>1</w:t>
      </w:r>
      <w:r w:rsidR="00232C10">
        <w:rPr>
          <w:b/>
        </w:rPr>
        <w:t>5</w:t>
      </w:r>
      <w:r>
        <w:t xml:space="preserve"> date), which must include the following:</w:t>
      </w:r>
    </w:p>
    <w:p w:rsidR="002116BF" w:rsidRDefault="002116BF" w:rsidP="002116BF">
      <w:pPr>
        <w:jc w:val="both"/>
      </w:pPr>
    </w:p>
    <w:p w:rsidR="002116BF" w:rsidRDefault="002116BF" w:rsidP="002116BF">
      <w:pPr>
        <w:numPr>
          <w:ilvl w:val="0"/>
          <w:numId w:val="1"/>
        </w:numPr>
        <w:jc w:val="both"/>
      </w:pPr>
      <w:r>
        <w:t>A written certification by the State that the consortium will direct its activities to the alleviation of housing problems within the State. (See Attachment B.)  Note: The State certification may be signed by whoever has the authority to make the certification; it may be the Governor or his/her designee.  If a designee signs, the signature line must indicate it is an “Authorized Official.”  In Illinois, the Executive Director of the Illinois Housing Development Authority in fact has that designated authority.  (See Attachment C.)</w:t>
      </w:r>
    </w:p>
    <w:p w:rsidR="002116BF" w:rsidRDefault="002116BF" w:rsidP="002116BF">
      <w:pPr>
        <w:ind w:left="360"/>
        <w:jc w:val="both"/>
      </w:pPr>
    </w:p>
    <w:p w:rsidR="002116BF" w:rsidRDefault="002116BF" w:rsidP="002116BF">
      <w:pPr>
        <w:numPr>
          <w:ilvl w:val="0"/>
          <w:numId w:val="1"/>
        </w:numPr>
        <w:jc w:val="both"/>
      </w:pPr>
      <w:r>
        <w:t>One legally binding consortium cooperation agreement that has been executed by all consortium members:</w:t>
      </w:r>
    </w:p>
    <w:p w:rsidR="002116BF" w:rsidRDefault="002116BF" w:rsidP="002116BF">
      <w:pPr>
        <w:ind w:left="360"/>
        <w:jc w:val="both"/>
      </w:pPr>
    </w:p>
    <w:p w:rsidR="002116BF" w:rsidRDefault="002116BF" w:rsidP="002116BF">
      <w:pPr>
        <w:numPr>
          <w:ilvl w:val="1"/>
          <w:numId w:val="1"/>
        </w:numPr>
        <w:jc w:val="both"/>
      </w:pPr>
      <w:r>
        <w:t>Agreeing to cooperate to undertake or to assist in undertaking housing assistance activities for the HOME Program;</w:t>
      </w:r>
    </w:p>
    <w:p w:rsidR="002116BF" w:rsidRDefault="002116BF" w:rsidP="002116BF">
      <w:pPr>
        <w:ind w:left="1080"/>
        <w:jc w:val="both"/>
      </w:pPr>
    </w:p>
    <w:p w:rsidR="002116BF" w:rsidRDefault="002116BF" w:rsidP="002116BF">
      <w:pPr>
        <w:numPr>
          <w:ilvl w:val="1"/>
          <w:numId w:val="1"/>
        </w:numPr>
        <w:jc w:val="both"/>
      </w:pPr>
      <w:r>
        <w:t>Authorizing one member unit of general local government to act in a representative capacity for all member units of general local government for the purposes of the HOME Program (i.e., the “lead entity”);</w:t>
      </w:r>
    </w:p>
    <w:p w:rsidR="002116BF" w:rsidRDefault="002116BF" w:rsidP="002116BF">
      <w:pPr>
        <w:ind w:left="1080"/>
        <w:jc w:val="both"/>
      </w:pPr>
    </w:p>
    <w:p w:rsidR="002116BF" w:rsidRDefault="002116BF" w:rsidP="002116BF">
      <w:pPr>
        <w:numPr>
          <w:ilvl w:val="1"/>
          <w:numId w:val="1"/>
        </w:numPr>
        <w:jc w:val="both"/>
      </w:pPr>
      <w:r>
        <w:t>Providing that the representative member (also referred to as the lead entity) assumes overall responsibility for ensuring that the consortium’s HOME Program is carried out in compliance with the requirements of the HOME Program, including requirements concerning a Consolidated Plan in accordance with HUD regulations in 24 CFR Parts 92 and 91, respectively, and the requirements of 24 CFR 92.350 (a)(5)</w:t>
      </w:r>
      <w:proofErr w:type="gramStart"/>
      <w:r>
        <w:t>;  Note</w:t>
      </w:r>
      <w:proofErr w:type="gramEnd"/>
      <w:r>
        <w:t>: The agreement must not contain a provision for veto or other restriction that would allow any member unit of local government to obstruct the implementation of the consortium’s approved Consolidated Plan.</w:t>
      </w:r>
    </w:p>
    <w:p w:rsidR="002116BF" w:rsidRDefault="002116BF" w:rsidP="002116BF">
      <w:pPr>
        <w:jc w:val="both"/>
      </w:pPr>
    </w:p>
    <w:p w:rsidR="002116BF" w:rsidRDefault="002116BF" w:rsidP="002116BF">
      <w:pPr>
        <w:numPr>
          <w:ilvl w:val="1"/>
          <w:numId w:val="1"/>
        </w:numPr>
        <w:jc w:val="both"/>
      </w:pPr>
      <w:r>
        <w:t>Containing a provision requiring each member unit of local government to affirmatively further fair housing;</w:t>
      </w:r>
    </w:p>
    <w:p w:rsidR="002116BF" w:rsidRDefault="002116BF" w:rsidP="002116BF">
      <w:pPr>
        <w:jc w:val="both"/>
      </w:pPr>
    </w:p>
    <w:p w:rsidR="002116BF" w:rsidRDefault="002116BF" w:rsidP="002116BF">
      <w:pPr>
        <w:numPr>
          <w:ilvl w:val="1"/>
          <w:numId w:val="1"/>
        </w:numPr>
        <w:jc w:val="both"/>
      </w:pPr>
      <w:r>
        <w:t xml:space="preserve">Specifying the three-year (qualification) period for which the Consortium is qualified to </w:t>
      </w:r>
      <w:r w:rsidRPr="002D46F2">
        <w:rPr>
          <w:u w:val="single"/>
        </w:rPr>
        <w:t>receive</w:t>
      </w:r>
      <w:r>
        <w:t xml:space="preserve"> HOME funds, the time for which the agreement remains in effect, and the prohibition on withdrawal from the agreement during such time; </w:t>
      </w:r>
      <w:r w:rsidRPr="00776592">
        <w:rPr>
          <w:b/>
        </w:rPr>
        <w:t xml:space="preserve">Note: </w:t>
      </w:r>
      <w:r>
        <w:rPr>
          <w:b/>
        </w:rPr>
        <w:t>For an agreement execu</w:t>
      </w:r>
      <w:r w:rsidR="00232C10">
        <w:rPr>
          <w:b/>
        </w:rPr>
        <w:t>ted in FY 2015</w:t>
      </w:r>
      <w:r>
        <w:rPr>
          <w:b/>
        </w:rPr>
        <w:t>, the</w:t>
      </w:r>
      <w:r w:rsidR="00232C10">
        <w:rPr>
          <w:b/>
        </w:rPr>
        <w:t xml:space="preserve"> qualification period is FY 2016-2018</w:t>
      </w:r>
      <w:r>
        <w:rPr>
          <w:b/>
        </w:rPr>
        <w:t>. T</w:t>
      </w:r>
      <w:r w:rsidRPr="00776592">
        <w:rPr>
          <w:b/>
        </w:rPr>
        <w:t xml:space="preserve">he agreement must remain in effect </w:t>
      </w:r>
      <w:r w:rsidRPr="002D46F2">
        <w:rPr>
          <w:b/>
          <w:u w:val="single"/>
        </w:rPr>
        <w:t>until</w:t>
      </w:r>
      <w:r w:rsidRPr="00776592">
        <w:rPr>
          <w:b/>
        </w:rPr>
        <w:t xml:space="preserve"> the HOME funds from </w:t>
      </w:r>
      <w:r w:rsidRPr="002D46F2">
        <w:rPr>
          <w:b/>
          <w:u w:val="single"/>
        </w:rPr>
        <w:t>each</w:t>
      </w:r>
      <w:r w:rsidRPr="00776592">
        <w:rPr>
          <w:b/>
        </w:rPr>
        <w:t xml:space="preserve"> of the Federal Fiscal Years of the qualification period are expended.</w:t>
      </w:r>
    </w:p>
    <w:p w:rsidR="002116BF" w:rsidRDefault="002116BF" w:rsidP="002116BF">
      <w:pPr>
        <w:jc w:val="both"/>
      </w:pPr>
    </w:p>
    <w:p w:rsidR="002116BF" w:rsidRDefault="002116BF" w:rsidP="002116BF">
      <w:pPr>
        <w:numPr>
          <w:ilvl w:val="1"/>
          <w:numId w:val="1"/>
        </w:numPr>
        <w:jc w:val="both"/>
      </w:pPr>
      <w:r>
        <w:t>Stating the program year start date for the consortium and that all units of general local government that are members of the consortium are on the same program year for CDBG, HOME, ESG, and HOPWA; and</w:t>
      </w:r>
    </w:p>
    <w:p w:rsidR="002116BF" w:rsidRDefault="002116BF" w:rsidP="002116BF">
      <w:pPr>
        <w:jc w:val="both"/>
      </w:pPr>
    </w:p>
    <w:p w:rsidR="002116BF" w:rsidRDefault="002116BF" w:rsidP="002116BF">
      <w:pPr>
        <w:numPr>
          <w:ilvl w:val="1"/>
          <w:numId w:val="1"/>
        </w:numPr>
        <w:jc w:val="both"/>
      </w:pPr>
      <w:r>
        <w:t>Authorizing the lead entity to amend the consortium agreement on behalf of the entire consortium to add new members to the consortium.  Note: This provision need not be in the agreement if the consortium members prefer to have all the members sign and approve additions.</w:t>
      </w:r>
    </w:p>
    <w:p w:rsidR="002116BF" w:rsidRDefault="002116BF" w:rsidP="002116BF">
      <w:pPr>
        <w:jc w:val="both"/>
      </w:pPr>
    </w:p>
    <w:p w:rsidR="002116BF" w:rsidRDefault="002116BF" w:rsidP="002116BF">
      <w:pPr>
        <w:numPr>
          <w:ilvl w:val="1"/>
          <w:numId w:val="1"/>
        </w:numPr>
        <w:jc w:val="both"/>
      </w:pPr>
      <w:r>
        <w:t xml:space="preserve">Signed by the chief executive officer or </w:t>
      </w:r>
      <w:r w:rsidRPr="004E0BE2">
        <w:rPr>
          <w:b/>
        </w:rPr>
        <w:t>authorized official</w:t>
      </w:r>
      <w:r>
        <w:t xml:space="preserve"> of each member unit of local government.  Note: If an urban county is part of the consortium, only the county (not all the members of the urban county) signs the consortium agreement.  However, any unit of local government that is located in but is not participating as part of the urban county, and that wishes to be included in the HOME consortium, must sign the cooperation agreement.  Also, for new consortia and renewal of existing </w:t>
      </w:r>
      <w:proofErr w:type="gramStart"/>
      <w:r>
        <w:t>consortia which</w:t>
      </w:r>
      <w:proofErr w:type="gramEnd"/>
      <w:r>
        <w:t xml:space="preserve"> include a non-urban county, the county cannot on its own include the whole county in the consortium.  Any unit of local government in the non-urban county that wishes to participate as a member of the consortium must sign the HOME consortium agreement.</w:t>
      </w:r>
    </w:p>
    <w:p w:rsidR="002116BF" w:rsidRDefault="002116BF" w:rsidP="002116BF">
      <w:pPr>
        <w:jc w:val="both"/>
      </w:pPr>
    </w:p>
    <w:p w:rsidR="002116BF" w:rsidRDefault="002116BF" w:rsidP="002116BF">
      <w:pPr>
        <w:numPr>
          <w:ilvl w:val="1"/>
          <w:numId w:val="1"/>
        </w:numPr>
        <w:jc w:val="both"/>
      </w:pPr>
      <w:r>
        <w:t>Accompanied by authorizing resolutions from the governing body of each member unit of local government, or other acceptable evidence that the chief executive officer is authorized to sign the agreement;</w:t>
      </w:r>
    </w:p>
    <w:p w:rsidR="002116BF" w:rsidRDefault="002116BF" w:rsidP="002116BF">
      <w:pPr>
        <w:jc w:val="both"/>
      </w:pPr>
    </w:p>
    <w:p w:rsidR="002116BF" w:rsidRDefault="002116BF" w:rsidP="002116BF">
      <w:pPr>
        <w:numPr>
          <w:ilvl w:val="1"/>
          <w:numId w:val="1"/>
        </w:numPr>
        <w:jc w:val="both"/>
      </w:pPr>
      <w:r>
        <w:t xml:space="preserve">Containing, or accompanied by, a legal opinion from the lead entity’s counsel citing applicable law and concluding that the terms and provisions of the agreement are fully authorized under State and local law and that the agreement </w:t>
      </w:r>
      <w:r>
        <w:lastRenderedPageBreak/>
        <w:t>provides full legal authority for the consortium to undertake or assist in undertaking housing assistance activities for the HOME Program;</w:t>
      </w:r>
    </w:p>
    <w:p w:rsidR="002116BF" w:rsidRDefault="002116BF" w:rsidP="002116BF">
      <w:pPr>
        <w:jc w:val="both"/>
      </w:pPr>
    </w:p>
    <w:p w:rsidR="002116BF" w:rsidRDefault="002116BF" w:rsidP="002116BF">
      <w:pPr>
        <w:numPr>
          <w:ilvl w:val="1"/>
          <w:numId w:val="1"/>
        </w:numPr>
        <w:jc w:val="both"/>
      </w:pPr>
      <w:r>
        <w:t>(Optional) Providing for an automatic renewal of the agreement in successive three-year qualification periods that also states that, by the date specified in HUD’s consortia designation notices or listed on HOME’s Consortia web page, the lead entity will have notified each participating unit of local government in writing of its right not to participate in the next three-year qualification period.</w:t>
      </w:r>
    </w:p>
    <w:p w:rsidR="002116BF" w:rsidRDefault="002116BF" w:rsidP="002116BF">
      <w:pPr>
        <w:jc w:val="both"/>
      </w:pPr>
    </w:p>
    <w:p w:rsidR="002116BF" w:rsidRDefault="002116BF" w:rsidP="002116BF">
      <w:pPr>
        <w:numPr>
          <w:ilvl w:val="1"/>
          <w:numId w:val="1"/>
        </w:numPr>
        <w:jc w:val="both"/>
      </w:pPr>
      <w:r>
        <w:t>Stating that, for Consortia agreements with an Automatic Renewal Provision, copies of the aforementioned notification sent to each jurisdiction (k) must be sent to the HUD field office by the date specified in the consortia designation notice</w:t>
      </w:r>
      <w:r w:rsidRPr="00232463">
        <w:t xml:space="preserve"> </w:t>
      </w:r>
      <w:r>
        <w:t>or listed on HOME’s Consortia web page.</w:t>
      </w:r>
    </w:p>
    <w:p w:rsidR="002116BF" w:rsidRDefault="002116BF" w:rsidP="002116BF">
      <w:pPr>
        <w:jc w:val="both"/>
      </w:pPr>
    </w:p>
    <w:p w:rsidR="002116BF" w:rsidRDefault="002116BF" w:rsidP="002116BF">
      <w:pPr>
        <w:numPr>
          <w:ilvl w:val="1"/>
          <w:numId w:val="1"/>
        </w:numPr>
        <w:jc w:val="both"/>
      </w:pPr>
      <w:r>
        <w:t xml:space="preserve">Stipulating that, for Consortia agreements with an Automatic Renewal Provision, the consortium must adopt any amendment to the agreement incorporating changes necessary to meet the requirements for such agreements as set forth in the Consortia Qualification Notice applicable for a subsequent three-year consortia qualification period. The amendment must be submitted to HUD as specified in the Consortia Qualification Notice for that period.  Note: Failure to include and comply with the stipulations will void the Automatic Renewal of the Consortium agreement. The Automatic Renewal provisions will not apply when the consortium adds a new member.  </w:t>
      </w:r>
    </w:p>
    <w:p w:rsidR="002116BF" w:rsidRDefault="002116BF" w:rsidP="002116BF">
      <w:pPr>
        <w:jc w:val="both"/>
      </w:pPr>
    </w:p>
    <w:p w:rsidR="002116BF" w:rsidRDefault="00CA7A9B" w:rsidP="002116BF">
      <w:pPr>
        <w:jc w:val="both"/>
      </w:pPr>
      <w:r>
        <w:t>HUD’s April 9, 2013</w:t>
      </w:r>
      <w:r w:rsidR="00F50AAF">
        <w:t xml:space="preserve"> CPD Notice 13-002</w:t>
      </w:r>
      <w:r w:rsidR="002116BF">
        <w:t xml:space="preserve"> goes on to cover a number of other important areas, including Joint Grant Agreements, Consolidated Program Year for New and Existing Consortia, the Consolidated Plan content requirements for Consortia, the Consortium Cooperation Agreement qualification period and duration, and HUD’s review process regarding each applicant consortium’s legal authority and administrative capacity.  Counties, cities, villages, and towns are encouraged to review and discuss these requirements prior to entering into or withdrawing from an existing or new consortium. </w:t>
      </w:r>
    </w:p>
    <w:p w:rsidR="000D20D0" w:rsidRDefault="000D20D0" w:rsidP="002116BF">
      <w:pPr>
        <w:jc w:val="both"/>
      </w:pPr>
    </w:p>
    <w:p w:rsidR="002116BF" w:rsidRDefault="002116BF" w:rsidP="002116BF">
      <w:pPr>
        <w:jc w:val="both"/>
      </w:pPr>
      <w:r>
        <w:t>For the State, or in this case, the Illinois Housing Development Authority (IHDA), to review and process the required State Certification listed under “(1)” on page one of this memo, please provide a written statement from the lead entity of the consortium stating all of its members.  IHDA will then prepare the draft State Certification after reviewing the State Consolidated Plan (and, if applicable, the local Consolidated Plan) for compliance.   IHDA, however, will not provide the final State Certifications until it has received an executed copy of the local Consortium Cooperation Agreement which includes signatures representing all participating entities, as well as applicable local government Council/Board resolutions.  Please note that IHDA will not be reviewing such documents for actual content or substance, as this is HUD’s responsibility, but rather only to confirm all members in each consortium.</w:t>
      </w:r>
    </w:p>
    <w:p w:rsidR="002116BF" w:rsidRDefault="002116BF" w:rsidP="002116BF">
      <w:pPr>
        <w:jc w:val="both"/>
      </w:pPr>
    </w:p>
    <w:p w:rsidR="002116BF" w:rsidRDefault="002116BF" w:rsidP="002116BF">
      <w:pPr>
        <w:jc w:val="both"/>
      </w:pPr>
      <w:r>
        <w:t>If you have any additional questions or comments on these procedures or have local circumstances that will make it difficult to meet these minimal State requirements, please contact me, or Burton Hughes, of the Office of Housing Coordination Services (OHCS) at 312/836-5320.</w:t>
      </w:r>
    </w:p>
    <w:p w:rsidR="002116BF" w:rsidRDefault="002116BF" w:rsidP="002116BF">
      <w:pPr>
        <w:jc w:val="both"/>
      </w:pPr>
    </w:p>
    <w:p w:rsidR="002116BF" w:rsidRDefault="002116BF" w:rsidP="002116BF">
      <w:pPr>
        <w:jc w:val="both"/>
      </w:pPr>
      <w:proofErr w:type="gramStart"/>
      <w:r>
        <w:t>cc</w:t>
      </w:r>
      <w:proofErr w:type="gramEnd"/>
      <w:r>
        <w:t>.</w:t>
      </w:r>
      <w:r>
        <w:tab/>
        <w:t>Mary R, Kenney, Executive Director, IHDA</w:t>
      </w:r>
    </w:p>
    <w:p w:rsidR="002116BF" w:rsidRDefault="00F50AAF" w:rsidP="002116BF">
      <w:pPr>
        <w:jc w:val="both"/>
      </w:pPr>
      <w:r>
        <w:tab/>
        <w:t xml:space="preserve">Jerry </w:t>
      </w:r>
      <w:proofErr w:type="spellStart"/>
      <w:r>
        <w:t>Deese</w:t>
      </w:r>
      <w:proofErr w:type="spellEnd"/>
      <w:r w:rsidR="002116BF">
        <w:t>, HUD Representative</w:t>
      </w:r>
      <w:r w:rsidR="002116BF" w:rsidRPr="00A41E07">
        <w:t xml:space="preserve"> </w:t>
      </w:r>
      <w:r w:rsidR="002116BF">
        <w:t>CPD, HUD</w:t>
      </w:r>
    </w:p>
    <w:p w:rsidR="002116BF" w:rsidRDefault="002116BF" w:rsidP="002116BF">
      <w:pPr>
        <w:sectPr w:rsidR="002116BF" w:rsidSect="00736095">
          <w:headerReference w:type="first" r:id="rId9"/>
          <w:pgSz w:w="12240" w:h="15840"/>
          <w:pgMar w:top="1440" w:right="1440" w:bottom="1440" w:left="1440" w:header="432" w:footer="720" w:gutter="0"/>
          <w:cols w:space="720"/>
          <w:titlePg/>
          <w:docGrid w:linePitch="326"/>
        </w:sectPr>
      </w:pPr>
    </w:p>
    <w:p w:rsidR="002116BF" w:rsidRDefault="002116BF" w:rsidP="002116BF">
      <w:pPr>
        <w:tabs>
          <w:tab w:val="left" w:pos="-1440"/>
        </w:tabs>
        <w:jc w:val="center"/>
        <w:rPr>
          <w:rFonts w:ascii="CG Times" w:hAnsi="CG Times"/>
        </w:rPr>
      </w:pPr>
      <w:r>
        <w:rPr>
          <w:rFonts w:ascii="CG Times" w:hAnsi="CG Times"/>
          <w:b/>
          <w:bCs/>
          <w:szCs w:val="28"/>
        </w:rPr>
        <w:lastRenderedPageBreak/>
        <w:t>Local Consolidat</w:t>
      </w:r>
      <w:r w:rsidR="00793814">
        <w:rPr>
          <w:rFonts w:ascii="CG Times" w:hAnsi="CG Times"/>
          <w:b/>
          <w:bCs/>
          <w:szCs w:val="28"/>
        </w:rPr>
        <w:t>ed Plan Communities for FFY 2015</w:t>
      </w:r>
      <w:r>
        <w:rPr>
          <w:rFonts w:ascii="CG Times" w:hAnsi="CG Times"/>
          <w:b/>
          <w:bCs/>
          <w:szCs w:val="28"/>
        </w:rPr>
        <w:t xml:space="preserve"> Funding</w:t>
      </w:r>
    </w:p>
    <w:p w:rsidR="002116BF" w:rsidRDefault="002116BF" w:rsidP="002116BF">
      <w:pPr>
        <w:tabs>
          <w:tab w:val="left" w:pos="-1440"/>
        </w:tabs>
        <w:jc w:val="both"/>
        <w:rPr>
          <w:rFonts w:ascii="CG Times" w:hAnsi="CG Times"/>
        </w:rPr>
      </w:pPr>
    </w:p>
    <w:p w:rsidR="002116BF" w:rsidRPr="007F5835" w:rsidRDefault="002116BF" w:rsidP="002116BF">
      <w:pPr>
        <w:tabs>
          <w:tab w:val="left" w:pos="-1440"/>
        </w:tabs>
        <w:jc w:val="both"/>
        <w:rPr>
          <w:rFonts w:ascii="Times New Roman" w:hAnsi="Times New Roman"/>
          <w:sz w:val="20"/>
        </w:rPr>
      </w:pPr>
      <w:r w:rsidRPr="007F5835">
        <w:rPr>
          <w:rFonts w:ascii="Times New Roman" w:hAnsi="Times New Roman"/>
          <w:sz w:val="20"/>
        </w:rPr>
        <w:t xml:space="preserve">Projects located in the following cities and counties require a local Consolidated Plan Certification of Consistency, which should be requested from the city or county in which the project is located, except as noted below (see NOTE).  </w:t>
      </w:r>
      <w:r w:rsidRPr="007F5835">
        <w:rPr>
          <w:rFonts w:ascii="Times New Roman" w:hAnsi="Times New Roman"/>
          <w:sz w:val="20"/>
          <w:u w:val="single"/>
        </w:rPr>
        <w:t>The State (OHCS/IHDA) does not provide Certifications of Consistency for projects located in the following cities and counties</w:t>
      </w:r>
      <w:r w:rsidRPr="007F5835">
        <w:rPr>
          <w:rFonts w:ascii="Times New Roman" w:hAnsi="Times New Roman"/>
          <w:sz w:val="20"/>
        </w:rPr>
        <w:t>.</w:t>
      </w:r>
    </w:p>
    <w:p w:rsidR="002116BF" w:rsidRDefault="002116BF" w:rsidP="002116BF">
      <w:pPr>
        <w:pStyle w:val="1"/>
        <w:numPr>
          <w:ilvl w:val="0"/>
          <w:numId w:val="0"/>
        </w:numPr>
        <w:tabs>
          <w:tab w:val="left" w:pos="-1440"/>
        </w:tabs>
        <w:jc w:val="both"/>
        <w:rPr>
          <w:rFonts w:ascii="CG Times" w:hAnsi="CG Times"/>
          <w:sz w:val="24"/>
          <w:szCs w:val="20"/>
        </w:rPr>
        <w:sectPr w:rsidR="002116BF" w:rsidSect="007F5835">
          <w:headerReference w:type="first" r:id="rId10"/>
          <w:pgSz w:w="12240" w:h="15840"/>
          <w:pgMar w:top="1440" w:right="1440" w:bottom="1440" w:left="1440" w:header="432" w:footer="720" w:gutter="0"/>
          <w:cols w:space="720"/>
          <w:titlePg/>
          <w:docGrid w:linePitch="326"/>
        </w:sectPr>
      </w:pPr>
    </w:p>
    <w:p w:rsidR="002116BF" w:rsidRDefault="002116BF" w:rsidP="002116BF">
      <w:pPr>
        <w:pStyle w:val="1"/>
        <w:numPr>
          <w:ilvl w:val="0"/>
          <w:numId w:val="0"/>
        </w:numPr>
        <w:tabs>
          <w:tab w:val="left" w:pos="-1440"/>
        </w:tabs>
        <w:jc w:val="both"/>
        <w:rPr>
          <w:rFonts w:ascii="CG Times" w:hAnsi="CG Times"/>
          <w:sz w:val="24"/>
          <w:szCs w:val="20"/>
        </w:rPr>
      </w:pPr>
    </w:p>
    <w:p w:rsidR="002116BF" w:rsidRPr="00BF1D7C" w:rsidRDefault="002116BF" w:rsidP="002116BF">
      <w:pPr>
        <w:pStyle w:val="1"/>
        <w:numPr>
          <w:ilvl w:val="0"/>
          <w:numId w:val="0"/>
        </w:numPr>
        <w:tabs>
          <w:tab w:val="left" w:pos="-1440"/>
        </w:tabs>
        <w:jc w:val="both"/>
        <w:rPr>
          <w:szCs w:val="20"/>
        </w:rPr>
      </w:pPr>
      <w:r w:rsidRPr="00BF1D7C">
        <w:rPr>
          <w:szCs w:val="20"/>
        </w:rPr>
        <w:t>Cities:</w:t>
      </w:r>
      <w:r w:rsidRPr="00BF1D7C">
        <w:rPr>
          <w:szCs w:val="20"/>
        </w:rPr>
        <w:tab/>
      </w:r>
      <w:r w:rsidRPr="00BF1D7C">
        <w:rPr>
          <w:szCs w:val="20"/>
        </w:rPr>
        <w:tab/>
      </w:r>
    </w:p>
    <w:p w:rsidR="002116BF" w:rsidRDefault="002116BF" w:rsidP="002116BF">
      <w:pPr>
        <w:pStyle w:val="1"/>
        <w:numPr>
          <w:ilvl w:val="0"/>
          <w:numId w:val="0"/>
        </w:numPr>
        <w:tabs>
          <w:tab w:val="left" w:pos="-1440"/>
        </w:tabs>
        <w:jc w:val="both"/>
        <w:rPr>
          <w:szCs w:val="20"/>
        </w:rPr>
      </w:pPr>
      <w:r w:rsidRPr="00BF1D7C">
        <w:rPr>
          <w:szCs w:val="20"/>
        </w:rPr>
        <w:t>(</w:t>
      </w:r>
      <w:r w:rsidRPr="00BF1D7C">
        <w:rPr>
          <w:szCs w:val="20"/>
        </w:rPr>
        <w:fldChar w:fldCharType="begin"/>
      </w:r>
      <w:r w:rsidRPr="00BF1D7C">
        <w:rPr>
          <w:szCs w:val="20"/>
        </w:rPr>
        <w:instrText>SEQ 1,_2,_3, \* Arabic \r 1</w:instrText>
      </w:r>
      <w:r w:rsidRPr="00BF1D7C">
        <w:rPr>
          <w:szCs w:val="20"/>
        </w:rPr>
        <w:fldChar w:fldCharType="separate"/>
      </w:r>
      <w:r w:rsidR="00185669">
        <w:rPr>
          <w:noProof/>
          <w:szCs w:val="20"/>
        </w:rPr>
        <w:t>1</w:t>
      </w:r>
      <w:r w:rsidRPr="00BF1D7C">
        <w:rPr>
          <w:szCs w:val="20"/>
        </w:rPr>
        <w:fldChar w:fldCharType="end"/>
      </w:r>
      <w:r>
        <w:rPr>
          <w:szCs w:val="20"/>
        </w:rPr>
        <w:t>)</w:t>
      </w:r>
      <w:r>
        <w:rPr>
          <w:szCs w:val="20"/>
        </w:rPr>
        <w:tab/>
        <w:t xml:space="preserve">Alton (PE- Madison County </w:t>
      </w:r>
      <w:r>
        <w:rPr>
          <w:szCs w:val="20"/>
        </w:rPr>
        <w:tab/>
        <w:t>Consortium)</w:t>
      </w:r>
    </w:p>
    <w:p w:rsidR="002116BF" w:rsidRPr="00BF1D7C" w:rsidRDefault="002116BF" w:rsidP="002116BF">
      <w:pPr>
        <w:pStyle w:val="1"/>
        <w:numPr>
          <w:ilvl w:val="0"/>
          <w:numId w:val="0"/>
        </w:numPr>
        <w:tabs>
          <w:tab w:val="left" w:pos="-1440"/>
        </w:tabs>
        <w:jc w:val="both"/>
        <w:rPr>
          <w:szCs w:val="20"/>
        </w:rPr>
      </w:pPr>
      <w:r w:rsidRPr="00BF1D7C">
        <w:rPr>
          <w:szCs w:val="20"/>
        </w:rPr>
        <w:t>(</w:t>
      </w:r>
      <w:r>
        <w:rPr>
          <w:szCs w:val="20"/>
        </w:rPr>
        <w:t>2</w:t>
      </w:r>
      <w:r w:rsidRPr="00BF1D7C">
        <w:rPr>
          <w:szCs w:val="20"/>
        </w:rPr>
        <w:t>)</w:t>
      </w:r>
      <w:r w:rsidRPr="00BF1D7C">
        <w:rPr>
          <w:szCs w:val="20"/>
        </w:rPr>
        <w:tab/>
        <w:t>Arlington Heights</w:t>
      </w:r>
    </w:p>
    <w:p w:rsidR="002116BF" w:rsidRPr="00BF1D7C" w:rsidRDefault="002116BF" w:rsidP="002116BF">
      <w:pPr>
        <w:pStyle w:val="1"/>
        <w:numPr>
          <w:ilvl w:val="0"/>
          <w:numId w:val="0"/>
        </w:numPr>
        <w:tabs>
          <w:tab w:val="left" w:pos="-1440"/>
        </w:tabs>
        <w:ind w:left="720" w:hanging="720"/>
        <w:jc w:val="both"/>
        <w:rPr>
          <w:szCs w:val="20"/>
        </w:rPr>
      </w:pPr>
      <w:r w:rsidRPr="00BF1D7C">
        <w:rPr>
          <w:szCs w:val="20"/>
        </w:rPr>
        <w:t>(</w:t>
      </w:r>
      <w:r>
        <w:rPr>
          <w:szCs w:val="20"/>
        </w:rPr>
        <w:t>3)</w:t>
      </w:r>
      <w:r>
        <w:rPr>
          <w:szCs w:val="20"/>
        </w:rPr>
        <w:tab/>
        <w:t>Aurora</w:t>
      </w:r>
      <w:r>
        <w:rPr>
          <w:szCs w:val="20"/>
        </w:rPr>
        <w:tab/>
      </w:r>
    </w:p>
    <w:p w:rsidR="002116BF" w:rsidRPr="00BF1D7C" w:rsidRDefault="002116BF" w:rsidP="002116BF">
      <w:pPr>
        <w:pStyle w:val="1"/>
        <w:numPr>
          <w:ilvl w:val="0"/>
          <w:numId w:val="0"/>
        </w:numPr>
        <w:tabs>
          <w:tab w:val="left" w:pos="-1440"/>
        </w:tabs>
        <w:ind w:left="720" w:hanging="720"/>
        <w:jc w:val="both"/>
        <w:rPr>
          <w:szCs w:val="20"/>
        </w:rPr>
      </w:pPr>
      <w:r>
        <w:rPr>
          <w:szCs w:val="20"/>
        </w:rPr>
        <w:t>(4</w:t>
      </w:r>
      <w:r w:rsidRPr="00BF1D7C">
        <w:rPr>
          <w:szCs w:val="20"/>
        </w:rPr>
        <w:t>)</w:t>
      </w:r>
      <w:r w:rsidRPr="00BF1D7C">
        <w:rPr>
          <w:szCs w:val="20"/>
        </w:rPr>
        <w:tab/>
        <w:t>Belleville (PE – St. Clair County Consortium)</w:t>
      </w:r>
    </w:p>
    <w:p w:rsidR="002116BF" w:rsidRPr="00BF1D7C" w:rsidRDefault="002116BF" w:rsidP="002116BF">
      <w:pPr>
        <w:pStyle w:val="1"/>
        <w:numPr>
          <w:ilvl w:val="0"/>
          <w:numId w:val="0"/>
        </w:numPr>
        <w:tabs>
          <w:tab w:val="left" w:pos="-1440"/>
        </w:tabs>
        <w:ind w:left="720" w:hanging="720"/>
        <w:jc w:val="both"/>
        <w:rPr>
          <w:szCs w:val="20"/>
        </w:rPr>
      </w:pPr>
      <w:r>
        <w:rPr>
          <w:szCs w:val="20"/>
        </w:rPr>
        <w:t>(5</w:t>
      </w:r>
      <w:r w:rsidRPr="00BF1D7C">
        <w:rPr>
          <w:szCs w:val="20"/>
        </w:rPr>
        <w:t>)</w:t>
      </w:r>
      <w:r w:rsidRPr="00BF1D7C">
        <w:rPr>
          <w:szCs w:val="20"/>
        </w:rPr>
        <w:tab/>
        <w:t>Berwyn (PE – Cook County Consortium)</w:t>
      </w:r>
    </w:p>
    <w:p w:rsidR="002116BF" w:rsidRPr="00BF1D7C" w:rsidRDefault="002116BF" w:rsidP="002116BF">
      <w:pPr>
        <w:pStyle w:val="1"/>
        <w:numPr>
          <w:ilvl w:val="0"/>
          <w:numId w:val="0"/>
        </w:numPr>
        <w:rPr>
          <w:szCs w:val="20"/>
        </w:rPr>
      </w:pPr>
      <w:r>
        <w:rPr>
          <w:szCs w:val="20"/>
        </w:rPr>
        <w:t>(6</w:t>
      </w:r>
      <w:r w:rsidRPr="00BF1D7C">
        <w:rPr>
          <w:szCs w:val="20"/>
        </w:rPr>
        <w:t>)</w:t>
      </w:r>
      <w:r w:rsidRPr="00BF1D7C">
        <w:rPr>
          <w:szCs w:val="20"/>
        </w:rPr>
        <w:tab/>
        <w:t>Bloomington</w:t>
      </w:r>
    </w:p>
    <w:p w:rsidR="002116BF" w:rsidRPr="00BF1D7C" w:rsidRDefault="002116BF" w:rsidP="002116BF">
      <w:pPr>
        <w:pStyle w:val="1"/>
        <w:numPr>
          <w:ilvl w:val="0"/>
          <w:numId w:val="0"/>
        </w:numPr>
        <w:tabs>
          <w:tab w:val="left" w:pos="-1440"/>
        </w:tabs>
        <w:jc w:val="both"/>
        <w:rPr>
          <w:szCs w:val="20"/>
        </w:rPr>
      </w:pPr>
      <w:r>
        <w:rPr>
          <w:szCs w:val="20"/>
        </w:rPr>
        <w:t>(7</w:t>
      </w:r>
      <w:r w:rsidRPr="00BF1D7C">
        <w:rPr>
          <w:szCs w:val="20"/>
        </w:rPr>
        <w:t>)</w:t>
      </w:r>
      <w:r w:rsidRPr="00BF1D7C">
        <w:rPr>
          <w:szCs w:val="20"/>
        </w:rPr>
        <w:tab/>
        <w:t>Bolingbrook</w:t>
      </w:r>
    </w:p>
    <w:p w:rsidR="002116BF" w:rsidRPr="00BF1D7C" w:rsidRDefault="002116BF" w:rsidP="002116BF">
      <w:pPr>
        <w:pStyle w:val="1"/>
        <w:numPr>
          <w:ilvl w:val="0"/>
          <w:numId w:val="0"/>
        </w:numPr>
        <w:tabs>
          <w:tab w:val="left" w:pos="-1440"/>
        </w:tabs>
        <w:jc w:val="both"/>
        <w:rPr>
          <w:szCs w:val="20"/>
        </w:rPr>
      </w:pPr>
      <w:r>
        <w:rPr>
          <w:szCs w:val="20"/>
        </w:rPr>
        <w:t>(8</w:t>
      </w:r>
      <w:r w:rsidRPr="00BF1D7C">
        <w:rPr>
          <w:szCs w:val="20"/>
        </w:rPr>
        <w:t>)</w:t>
      </w:r>
      <w:r w:rsidRPr="00BF1D7C">
        <w:rPr>
          <w:szCs w:val="20"/>
        </w:rPr>
        <w:tab/>
        <w:t>Champaign (PE - Urbana Consortium)</w:t>
      </w:r>
    </w:p>
    <w:p w:rsidR="002116BF" w:rsidRPr="00BF1D7C" w:rsidRDefault="002116BF" w:rsidP="002116BF">
      <w:pPr>
        <w:pStyle w:val="1"/>
        <w:numPr>
          <w:ilvl w:val="0"/>
          <w:numId w:val="0"/>
        </w:numPr>
        <w:tabs>
          <w:tab w:val="left" w:pos="-1440"/>
        </w:tabs>
        <w:jc w:val="both"/>
        <w:rPr>
          <w:szCs w:val="20"/>
        </w:rPr>
      </w:pPr>
      <w:r>
        <w:rPr>
          <w:szCs w:val="20"/>
        </w:rPr>
        <w:t>(9</w:t>
      </w:r>
      <w:r w:rsidRPr="00BF1D7C">
        <w:rPr>
          <w:szCs w:val="20"/>
        </w:rPr>
        <w:t>)</w:t>
      </w:r>
      <w:r w:rsidRPr="00BF1D7C">
        <w:rPr>
          <w:szCs w:val="20"/>
        </w:rPr>
        <w:tab/>
        <w:t>Chicago</w:t>
      </w:r>
    </w:p>
    <w:p w:rsidR="002116BF" w:rsidRPr="00BF1D7C" w:rsidRDefault="002116BF" w:rsidP="002116BF">
      <w:pPr>
        <w:pStyle w:val="1"/>
        <w:numPr>
          <w:ilvl w:val="0"/>
          <w:numId w:val="0"/>
        </w:numPr>
        <w:tabs>
          <w:tab w:val="left" w:pos="-1440"/>
        </w:tabs>
        <w:ind w:left="720" w:hanging="720"/>
        <w:jc w:val="both"/>
        <w:rPr>
          <w:szCs w:val="20"/>
        </w:rPr>
      </w:pPr>
      <w:r>
        <w:rPr>
          <w:szCs w:val="20"/>
        </w:rPr>
        <w:t>(10</w:t>
      </w:r>
      <w:r w:rsidRPr="00BF1D7C">
        <w:rPr>
          <w:szCs w:val="20"/>
        </w:rPr>
        <w:t>)</w:t>
      </w:r>
      <w:r w:rsidRPr="00BF1D7C">
        <w:rPr>
          <w:szCs w:val="20"/>
        </w:rPr>
        <w:tab/>
        <w:t>Chicago Heights (PE - Cook County Consortium)</w:t>
      </w:r>
    </w:p>
    <w:p w:rsidR="002116BF" w:rsidRPr="00BF1D7C" w:rsidRDefault="002116BF" w:rsidP="002116BF">
      <w:pPr>
        <w:pStyle w:val="1"/>
        <w:numPr>
          <w:ilvl w:val="0"/>
          <w:numId w:val="0"/>
        </w:numPr>
        <w:tabs>
          <w:tab w:val="left" w:pos="-1440"/>
        </w:tabs>
        <w:jc w:val="both"/>
        <w:rPr>
          <w:szCs w:val="20"/>
        </w:rPr>
      </w:pPr>
      <w:r>
        <w:rPr>
          <w:szCs w:val="20"/>
        </w:rPr>
        <w:t>(11</w:t>
      </w:r>
      <w:r w:rsidRPr="00BF1D7C">
        <w:rPr>
          <w:szCs w:val="20"/>
        </w:rPr>
        <w:t>)</w:t>
      </w:r>
      <w:r w:rsidRPr="00BF1D7C">
        <w:rPr>
          <w:szCs w:val="20"/>
        </w:rPr>
        <w:tab/>
        <w:t>Cicero (PE - Cook County Consortium)</w:t>
      </w:r>
    </w:p>
    <w:p w:rsidR="002116BF" w:rsidRPr="00BF1D7C" w:rsidRDefault="002116BF" w:rsidP="002116BF">
      <w:pPr>
        <w:pStyle w:val="1"/>
        <w:numPr>
          <w:ilvl w:val="0"/>
          <w:numId w:val="0"/>
        </w:numPr>
        <w:tabs>
          <w:tab w:val="left" w:pos="-1440"/>
        </w:tabs>
        <w:jc w:val="both"/>
        <w:rPr>
          <w:szCs w:val="20"/>
        </w:rPr>
      </w:pPr>
      <w:r>
        <w:rPr>
          <w:szCs w:val="20"/>
        </w:rPr>
        <w:t>(12</w:t>
      </w:r>
      <w:r w:rsidRPr="00BF1D7C">
        <w:rPr>
          <w:szCs w:val="20"/>
        </w:rPr>
        <w:t>)</w:t>
      </w:r>
      <w:r w:rsidRPr="00BF1D7C">
        <w:rPr>
          <w:szCs w:val="20"/>
        </w:rPr>
        <w:tab/>
        <w:t>Danville</w:t>
      </w:r>
    </w:p>
    <w:p w:rsidR="002116BF" w:rsidRPr="00BF1D7C" w:rsidRDefault="002116BF" w:rsidP="002116BF">
      <w:pPr>
        <w:pStyle w:val="1"/>
        <w:numPr>
          <w:ilvl w:val="0"/>
          <w:numId w:val="0"/>
        </w:numPr>
        <w:tabs>
          <w:tab w:val="left" w:pos="-1440"/>
        </w:tabs>
        <w:ind w:left="720" w:hanging="720"/>
        <w:jc w:val="both"/>
        <w:rPr>
          <w:szCs w:val="20"/>
        </w:rPr>
      </w:pPr>
      <w:r>
        <w:rPr>
          <w:szCs w:val="20"/>
        </w:rPr>
        <w:t>(13</w:t>
      </w:r>
      <w:r w:rsidRPr="00BF1D7C">
        <w:rPr>
          <w:szCs w:val="20"/>
        </w:rPr>
        <w:t>)</w:t>
      </w:r>
      <w:r w:rsidRPr="00BF1D7C">
        <w:rPr>
          <w:szCs w:val="20"/>
        </w:rPr>
        <w:tab/>
        <w:t>Decatur</w:t>
      </w:r>
    </w:p>
    <w:p w:rsidR="002116BF" w:rsidRPr="00BF1D7C" w:rsidRDefault="002116BF" w:rsidP="002116BF">
      <w:pPr>
        <w:pStyle w:val="1"/>
        <w:numPr>
          <w:ilvl w:val="0"/>
          <w:numId w:val="0"/>
        </w:numPr>
        <w:tabs>
          <w:tab w:val="left" w:pos="-1440"/>
        </w:tabs>
        <w:jc w:val="both"/>
        <w:rPr>
          <w:szCs w:val="20"/>
        </w:rPr>
      </w:pPr>
      <w:r>
        <w:rPr>
          <w:szCs w:val="20"/>
        </w:rPr>
        <w:t>(14</w:t>
      </w:r>
      <w:r w:rsidRPr="00BF1D7C">
        <w:rPr>
          <w:szCs w:val="20"/>
        </w:rPr>
        <w:t>)</w:t>
      </w:r>
      <w:r w:rsidRPr="00BF1D7C">
        <w:rPr>
          <w:szCs w:val="20"/>
        </w:rPr>
        <w:tab/>
        <w:t>DeKalb</w:t>
      </w:r>
    </w:p>
    <w:p w:rsidR="002116BF" w:rsidRPr="00BF1D7C" w:rsidRDefault="002116BF" w:rsidP="002116BF">
      <w:pPr>
        <w:pStyle w:val="1"/>
        <w:numPr>
          <w:ilvl w:val="0"/>
          <w:numId w:val="0"/>
        </w:numPr>
        <w:tabs>
          <w:tab w:val="left" w:pos="-1440"/>
        </w:tabs>
        <w:jc w:val="both"/>
        <w:rPr>
          <w:szCs w:val="20"/>
        </w:rPr>
      </w:pPr>
      <w:r>
        <w:rPr>
          <w:szCs w:val="20"/>
        </w:rPr>
        <w:t>(15</w:t>
      </w:r>
      <w:r w:rsidRPr="00BF1D7C">
        <w:rPr>
          <w:szCs w:val="20"/>
        </w:rPr>
        <w:t>)</w:t>
      </w:r>
      <w:r w:rsidRPr="00BF1D7C">
        <w:rPr>
          <w:szCs w:val="20"/>
        </w:rPr>
        <w:tab/>
        <w:t>Des Plaines</w:t>
      </w:r>
    </w:p>
    <w:p w:rsidR="002116BF" w:rsidRDefault="002116BF" w:rsidP="002116BF">
      <w:pPr>
        <w:pStyle w:val="1"/>
        <w:numPr>
          <w:ilvl w:val="0"/>
          <w:numId w:val="0"/>
        </w:numPr>
        <w:tabs>
          <w:tab w:val="left" w:pos="-1440"/>
        </w:tabs>
        <w:jc w:val="both"/>
        <w:rPr>
          <w:szCs w:val="20"/>
        </w:rPr>
      </w:pPr>
      <w:r>
        <w:rPr>
          <w:szCs w:val="20"/>
        </w:rPr>
        <w:t>(16</w:t>
      </w:r>
      <w:r w:rsidRPr="00BF1D7C">
        <w:rPr>
          <w:szCs w:val="20"/>
        </w:rPr>
        <w:t>)</w:t>
      </w:r>
      <w:r w:rsidRPr="00BF1D7C">
        <w:rPr>
          <w:szCs w:val="20"/>
        </w:rPr>
        <w:tab/>
        <w:t xml:space="preserve">Downers Grove (PE- </w:t>
      </w:r>
      <w:proofErr w:type="spellStart"/>
      <w:r w:rsidRPr="00BF1D7C">
        <w:rPr>
          <w:szCs w:val="20"/>
        </w:rPr>
        <w:t>DuPage</w:t>
      </w:r>
      <w:proofErr w:type="spellEnd"/>
      <w:r w:rsidRPr="00BF1D7C">
        <w:rPr>
          <w:szCs w:val="20"/>
        </w:rPr>
        <w:t xml:space="preserve"> County</w:t>
      </w:r>
    </w:p>
    <w:p w:rsidR="002116BF" w:rsidRPr="00BF1D7C" w:rsidRDefault="002116BF" w:rsidP="002116BF">
      <w:pPr>
        <w:pStyle w:val="1"/>
        <w:numPr>
          <w:ilvl w:val="0"/>
          <w:numId w:val="0"/>
        </w:numPr>
        <w:tabs>
          <w:tab w:val="left" w:pos="-1440"/>
        </w:tabs>
        <w:jc w:val="both"/>
        <w:rPr>
          <w:szCs w:val="20"/>
        </w:rPr>
      </w:pPr>
      <w:r>
        <w:rPr>
          <w:szCs w:val="20"/>
        </w:rPr>
        <w:tab/>
      </w:r>
      <w:r w:rsidRPr="00BF1D7C">
        <w:rPr>
          <w:szCs w:val="20"/>
        </w:rPr>
        <w:t>Consortium)</w:t>
      </w:r>
    </w:p>
    <w:p w:rsidR="002116BF" w:rsidRPr="00BF1D7C" w:rsidRDefault="002116BF" w:rsidP="002116BF">
      <w:pPr>
        <w:pStyle w:val="1"/>
        <w:numPr>
          <w:ilvl w:val="0"/>
          <w:numId w:val="0"/>
        </w:numPr>
        <w:tabs>
          <w:tab w:val="left" w:pos="-1440"/>
        </w:tabs>
        <w:jc w:val="both"/>
        <w:rPr>
          <w:szCs w:val="20"/>
        </w:rPr>
      </w:pPr>
      <w:r>
        <w:rPr>
          <w:szCs w:val="20"/>
        </w:rPr>
        <w:t>(17</w:t>
      </w:r>
      <w:r w:rsidRPr="00BF1D7C">
        <w:rPr>
          <w:szCs w:val="20"/>
        </w:rPr>
        <w:t>)</w:t>
      </w:r>
      <w:r w:rsidRPr="00BF1D7C">
        <w:rPr>
          <w:szCs w:val="20"/>
        </w:rPr>
        <w:tab/>
        <w:t>East St. Louis</w:t>
      </w:r>
    </w:p>
    <w:p w:rsidR="002116BF" w:rsidRPr="00BF1D7C" w:rsidRDefault="002116BF" w:rsidP="002116BF">
      <w:pPr>
        <w:pStyle w:val="1"/>
        <w:numPr>
          <w:ilvl w:val="0"/>
          <w:numId w:val="0"/>
        </w:numPr>
        <w:tabs>
          <w:tab w:val="left" w:pos="-1440"/>
        </w:tabs>
        <w:jc w:val="both"/>
        <w:rPr>
          <w:szCs w:val="20"/>
        </w:rPr>
      </w:pPr>
      <w:r>
        <w:rPr>
          <w:szCs w:val="20"/>
        </w:rPr>
        <w:t>(18</w:t>
      </w:r>
      <w:r w:rsidRPr="00BF1D7C">
        <w:rPr>
          <w:szCs w:val="20"/>
        </w:rPr>
        <w:t>)</w:t>
      </w:r>
      <w:r w:rsidRPr="00BF1D7C">
        <w:rPr>
          <w:szCs w:val="20"/>
        </w:rPr>
        <w:tab/>
        <w:t>Elgin</w:t>
      </w:r>
      <w:r>
        <w:rPr>
          <w:szCs w:val="20"/>
        </w:rPr>
        <w:t xml:space="preserve"> (PE – Kane</w:t>
      </w:r>
      <w:r w:rsidRPr="00BF1D7C">
        <w:rPr>
          <w:szCs w:val="20"/>
        </w:rPr>
        <w:t xml:space="preserve"> County</w:t>
      </w:r>
    </w:p>
    <w:p w:rsidR="002116BF" w:rsidRDefault="002116BF" w:rsidP="002116BF">
      <w:pPr>
        <w:pStyle w:val="1"/>
        <w:numPr>
          <w:ilvl w:val="0"/>
          <w:numId w:val="0"/>
        </w:numPr>
        <w:tabs>
          <w:tab w:val="left" w:pos="-1440"/>
        </w:tabs>
        <w:jc w:val="both"/>
        <w:rPr>
          <w:szCs w:val="20"/>
        </w:rPr>
      </w:pPr>
      <w:r>
        <w:rPr>
          <w:szCs w:val="20"/>
        </w:rPr>
        <w:t>(19</w:t>
      </w:r>
      <w:r w:rsidRPr="00BF1D7C">
        <w:rPr>
          <w:szCs w:val="20"/>
        </w:rPr>
        <w:t>)</w:t>
      </w:r>
      <w:r w:rsidRPr="00BF1D7C">
        <w:rPr>
          <w:szCs w:val="20"/>
        </w:rPr>
        <w:tab/>
        <w:t>Evanston</w:t>
      </w:r>
    </w:p>
    <w:p w:rsidR="002116BF" w:rsidRDefault="002116BF" w:rsidP="002116BF">
      <w:pPr>
        <w:pStyle w:val="1"/>
        <w:numPr>
          <w:ilvl w:val="0"/>
          <w:numId w:val="0"/>
        </w:numPr>
        <w:tabs>
          <w:tab w:val="left" w:pos="-1440"/>
        </w:tabs>
        <w:jc w:val="both"/>
        <w:rPr>
          <w:szCs w:val="20"/>
        </w:rPr>
      </w:pPr>
      <w:r>
        <w:rPr>
          <w:szCs w:val="20"/>
        </w:rPr>
        <w:t>(20)</w:t>
      </w:r>
      <w:r>
        <w:rPr>
          <w:szCs w:val="20"/>
        </w:rPr>
        <w:tab/>
        <w:t xml:space="preserve">Granite City (PE- Madison County </w:t>
      </w:r>
      <w:r>
        <w:rPr>
          <w:szCs w:val="20"/>
        </w:rPr>
        <w:tab/>
        <w:t>Consortium)</w:t>
      </w:r>
    </w:p>
    <w:p w:rsidR="002116BF" w:rsidRPr="00BF1D7C" w:rsidRDefault="002116BF" w:rsidP="002116BF">
      <w:pPr>
        <w:pStyle w:val="1"/>
        <w:numPr>
          <w:ilvl w:val="0"/>
          <w:numId w:val="0"/>
        </w:numPr>
        <w:tabs>
          <w:tab w:val="left" w:pos="-1440"/>
        </w:tabs>
        <w:jc w:val="both"/>
        <w:rPr>
          <w:szCs w:val="20"/>
        </w:rPr>
      </w:pPr>
      <w:r>
        <w:rPr>
          <w:szCs w:val="20"/>
        </w:rPr>
        <w:t>(21)</w:t>
      </w:r>
      <w:r>
        <w:rPr>
          <w:szCs w:val="20"/>
        </w:rPr>
        <w:tab/>
        <w:t>Hoffman Estates</w:t>
      </w:r>
    </w:p>
    <w:p w:rsidR="002116BF" w:rsidRPr="00BF1D7C" w:rsidRDefault="002116BF" w:rsidP="002116BF">
      <w:pPr>
        <w:pStyle w:val="1"/>
        <w:numPr>
          <w:ilvl w:val="0"/>
          <w:numId w:val="0"/>
        </w:numPr>
        <w:tabs>
          <w:tab w:val="left" w:pos="-1440"/>
        </w:tabs>
        <w:jc w:val="both"/>
        <w:rPr>
          <w:szCs w:val="20"/>
        </w:rPr>
      </w:pPr>
      <w:r>
        <w:rPr>
          <w:szCs w:val="20"/>
        </w:rPr>
        <w:t>(22</w:t>
      </w:r>
      <w:r w:rsidRPr="00BF1D7C">
        <w:rPr>
          <w:szCs w:val="20"/>
        </w:rPr>
        <w:t>)</w:t>
      </w:r>
      <w:r w:rsidRPr="00BF1D7C">
        <w:rPr>
          <w:szCs w:val="20"/>
        </w:rPr>
        <w:tab/>
        <w:t>Joliet</w:t>
      </w:r>
    </w:p>
    <w:p w:rsidR="002116BF" w:rsidRPr="00BF1D7C" w:rsidRDefault="002116BF" w:rsidP="002116BF">
      <w:pPr>
        <w:pStyle w:val="1"/>
        <w:numPr>
          <w:ilvl w:val="0"/>
          <w:numId w:val="0"/>
        </w:numPr>
        <w:tabs>
          <w:tab w:val="left" w:pos="-1440"/>
        </w:tabs>
        <w:jc w:val="both"/>
        <w:rPr>
          <w:szCs w:val="20"/>
        </w:rPr>
      </w:pPr>
      <w:r>
        <w:rPr>
          <w:szCs w:val="20"/>
        </w:rPr>
        <w:t>(23</w:t>
      </w:r>
      <w:r w:rsidRPr="00BF1D7C">
        <w:rPr>
          <w:szCs w:val="20"/>
        </w:rPr>
        <w:t>)</w:t>
      </w:r>
      <w:r w:rsidRPr="00BF1D7C">
        <w:rPr>
          <w:szCs w:val="20"/>
        </w:rPr>
        <w:tab/>
        <w:t>Kankakee</w:t>
      </w:r>
    </w:p>
    <w:p w:rsidR="002116BF" w:rsidRPr="00BF1D7C" w:rsidRDefault="002116BF" w:rsidP="002116BF">
      <w:pPr>
        <w:pStyle w:val="1"/>
        <w:numPr>
          <w:ilvl w:val="0"/>
          <w:numId w:val="0"/>
        </w:numPr>
        <w:tabs>
          <w:tab w:val="left" w:pos="-1440"/>
        </w:tabs>
        <w:jc w:val="both"/>
        <w:rPr>
          <w:szCs w:val="20"/>
        </w:rPr>
      </w:pPr>
      <w:r>
        <w:rPr>
          <w:szCs w:val="20"/>
        </w:rPr>
        <w:t>(24</w:t>
      </w:r>
      <w:r w:rsidRPr="00BF1D7C">
        <w:rPr>
          <w:szCs w:val="20"/>
        </w:rPr>
        <w:t>)</w:t>
      </w:r>
      <w:r w:rsidRPr="00BF1D7C">
        <w:rPr>
          <w:szCs w:val="20"/>
        </w:rPr>
        <w:tab/>
        <w:t>Moline</w:t>
      </w:r>
    </w:p>
    <w:p w:rsidR="002116BF" w:rsidRPr="00BF1D7C" w:rsidRDefault="002116BF" w:rsidP="002116BF">
      <w:pPr>
        <w:pStyle w:val="1"/>
        <w:numPr>
          <w:ilvl w:val="0"/>
          <w:numId w:val="0"/>
        </w:numPr>
        <w:tabs>
          <w:tab w:val="left" w:pos="-1440"/>
        </w:tabs>
        <w:jc w:val="both"/>
        <w:rPr>
          <w:szCs w:val="20"/>
        </w:rPr>
      </w:pPr>
      <w:r>
        <w:rPr>
          <w:szCs w:val="20"/>
        </w:rPr>
        <w:t>(25</w:t>
      </w:r>
      <w:r w:rsidRPr="00BF1D7C">
        <w:rPr>
          <w:szCs w:val="20"/>
        </w:rPr>
        <w:t>)</w:t>
      </w:r>
      <w:r w:rsidRPr="00BF1D7C">
        <w:rPr>
          <w:szCs w:val="20"/>
        </w:rPr>
        <w:tab/>
        <w:t>Mount Prospect</w:t>
      </w:r>
    </w:p>
    <w:p w:rsidR="002116BF" w:rsidRDefault="002116BF" w:rsidP="002116BF">
      <w:pPr>
        <w:pStyle w:val="1"/>
        <w:numPr>
          <w:ilvl w:val="0"/>
          <w:numId w:val="0"/>
        </w:numPr>
        <w:tabs>
          <w:tab w:val="left" w:pos="-1440"/>
        </w:tabs>
        <w:ind w:left="720" w:hanging="720"/>
        <w:jc w:val="both"/>
        <w:rPr>
          <w:szCs w:val="20"/>
        </w:rPr>
      </w:pPr>
      <w:r>
        <w:rPr>
          <w:szCs w:val="20"/>
        </w:rPr>
        <w:t>(26</w:t>
      </w:r>
      <w:r w:rsidRPr="00BF1D7C">
        <w:rPr>
          <w:szCs w:val="20"/>
        </w:rPr>
        <w:t>)</w:t>
      </w:r>
      <w:r w:rsidRPr="00BF1D7C">
        <w:rPr>
          <w:szCs w:val="20"/>
        </w:rPr>
        <w:tab/>
        <w:t xml:space="preserve">Naperville (PE - </w:t>
      </w:r>
      <w:proofErr w:type="spellStart"/>
      <w:r w:rsidRPr="00BF1D7C">
        <w:rPr>
          <w:szCs w:val="20"/>
        </w:rPr>
        <w:t>DuPage</w:t>
      </w:r>
      <w:proofErr w:type="spellEnd"/>
      <w:r w:rsidRPr="00BF1D7C">
        <w:rPr>
          <w:szCs w:val="20"/>
        </w:rPr>
        <w:t xml:space="preserve"> County Consortium)</w:t>
      </w:r>
    </w:p>
    <w:p w:rsidR="002116BF" w:rsidRDefault="002116BF" w:rsidP="002116BF">
      <w:pPr>
        <w:pStyle w:val="1"/>
        <w:numPr>
          <w:ilvl w:val="0"/>
          <w:numId w:val="0"/>
        </w:numPr>
        <w:tabs>
          <w:tab w:val="left" w:pos="-1440"/>
        </w:tabs>
        <w:ind w:left="720" w:hanging="720"/>
        <w:jc w:val="both"/>
        <w:rPr>
          <w:szCs w:val="20"/>
        </w:rPr>
      </w:pPr>
    </w:p>
    <w:p w:rsidR="002116BF" w:rsidRDefault="002116BF" w:rsidP="002116BF">
      <w:pPr>
        <w:pStyle w:val="1"/>
        <w:numPr>
          <w:ilvl w:val="0"/>
          <w:numId w:val="0"/>
        </w:numPr>
        <w:tabs>
          <w:tab w:val="left" w:pos="-1440"/>
        </w:tabs>
        <w:ind w:left="720" w:hanging="720"/>
        <w:jc w:val="both"/>
        <w:rPr>
          <w:szCs w:val="20"/>
        </w:rPr>
      </w:pPr>
    </w:p>
    <w:p w:rsidR="002116BF" w:rsidRDefault="002116BF" w:rsidP="002116BF">
      <w:pPr>
        <w:pStyle w:val="1"/>
        <w:numPr>
          <w:ilvl w:val="0"/>
          <w:numId w:val="0"/>
        </w:numPr>
        <w:tabs>
          <w:tab w:val="left" w:pos="-1440"/>
        </w:tabs>
        <w:jc w:val="both"/>
        <w:rPr>
          <w:szCs w:val="20"/>
        </w:rPr>
      </w:pPr>
      <w:r>
        <w:rPr>
          <w:szCs w:val="20"/>
        </w:rPr>
        <w:br w:type="column"/>
      </w:r>
    </w:p>
    <w:p w:rsidR="002116BF" w:rsidRDefault="002116BF" w:rsidP="002116BF">
      <w:pPr>
        <w:pStyle w:val="1"/>
        <w:numPr>
          <w:ilvl w:val="0"/>
          <w:numId w:val="0"/>
        </w:numPr>
        <w:tabs>
          <w:tab w:val="left" w:pos="-1440"/>
        </w:tabs>
        <w:jc w:val="both"/>
        <w:rPr>
          <w:szCs w:val="20"/>
        </w:rPr>
      </w:pPr>
    </w:p>
    <w:p w:rsidR="002116BF" w:rsidRDefault="002116BF" w:rsidP="002116BF">
      <w:pPr>
        <w:pStyle w:val="1"/>
        <w:numPr>
          <w:ilvl w:val="0"/>
          <w:numId w:val="0"/>
        </w:numPr>
        <w:tabs>
          <w:tab w:val="left" w:pos="-1440"/>
        </w:tabs>
        <w:jc w:val="both"/>
        <w:rPr>
          <w:szCs w:val="20"/>
        </w:rPr>
      </w:pPr>
    </w:p>
    <w:p w:rsidR="002116BF" w:rsidRPr="00BF1D7C" w:rsidRDefault="002116BF" w:rsidP="002116BF">
      <w:pPr>
        <w:pStyle w:val="1"/>
        <w:numPr>
          <w:ilvl w:val="0"/>
          <w:numId w:val="0"/>
        </w:numPr>
        <w:tabs>
          <w:tab w:val="left" w:pos="-1440"/>
        </w:tabs>
        <w:jc w:val="both"/>
        <w:rPr>
          <w:szCs w:val="20"/>
        </w:rPr>
      </w:pPr>
      <w:r>
        <w:rPr>
          <w:szCs w:val="20"/>
        </w:rPr>
        <w:t>(27</w:t>
      </w:r>
      <w:r w:rsidRPr="00BF1D7C">
        <w:rPr>
          <w:szCs w:val="20"/>
        </w:rPr>
        <w:t>)</w:t>
      </w:r>
      <w:r w:rsidRPr="00BF1D7C">
        <w:rPr>
          <w:szCs w:val="20"/>
        </w:rPr>
        <w:tab/>
        <w:t>Normal</w:t>
      </w:r>
    </w:p>
    <w:p w:rsidR="002116BF" w:rsidRPr="00BF1D7C" w:rsidRDefault="002116BF" w:rsidP="002116BF">
      <w:pPr>
        <w:pStyle w:val="1"/>
        <w:numPr>
          <w:ilvl w:val="0"/>
          <w:numId w:val="0"/>
        </w:numPr>
        <w:tabs>
          <w:tab w:val="left" w:pos="-1440"/>
        </w:tabs>
        <w:ind w:left="720" w:hanging="720"/>
        <w:jc w:val="both"/>
        <w:rPr>
          <w:szCs w:val="20"/>
        </w:rPr>
      </w:pPr>
      <w:r>
        <w:rPr>
          <w:szCs w:val="20"/>
        </w:rPr>
        <w:t>(28</w:t>
      </w:r>
      <w:r w:rsidRPr="00BF1D7C">
        <w:rPr>
          <w:szCs w:val="20"/>
        </w:rPr>
        <w:t>)</w:t>
      </w:r>
      <w:r w:rsidRPr="00BF1D7C">
        <w:rPr>
          <w:szCs w:val="20"/>
        </w:rPr>
        <w:tab/>
        <w:t>North Chicago (PE - Lake County Consortium)</w:t>
      </w:r>
    </w:p>
    <w:p w:rsidR="002116BF" w:rsidRPr="00BF1D7C" w:rsidRDefault="002116BF" w:rsidP="002116BF">
      <w:pPr>
        <w:pStyle w:val="1"/>
        <w:numPr>
          <w:ilvl w:val="0"/>
          <w:numId w:val="0"/>
        </w:numPr>
        <w:tabs>
          <w:tab w:val="left" w:pos="-1440"/>
        </w:tabs>
        <w:jc w:val="both"/>
        <w:rPr>
          <w:szCs w:val="20"/>
        </w:rPr>
      </w:pPr>
      <w:r>
        <w:rPr>
          <w:szCs w:val="20"/>
        </w:rPr>
        <w:t>(29</w:t>
      </w:r>
      <w:r w:rsidRPr="00BF1D7C">
        <w:rPr>
          <w:szCs w:val="20"/>
        </w:rPr>
        <w:t>)</w:t>
      </w:r>
      <w:r w:rsidRPr="00BF1D7C">
        <w:rPr>
          <w:szCs w:val="20"/>
        </w:rPr>
        <w:tab/>
        <w:t>Oak Lawn</w:t>
      </w:r>
    </w:p>
    <w:p w:rsidR="002116BF" w:rsidRPr="00BF1D7C" w:rsidRDefault="002116BF" w:rsidP="002116BF">
      <w:pPr>
        <w:pStyle w:val="1"/>
        <w:numPr>
          <w:ilvl w:val="0"/>
          <w:numId w:val="0"/>
        </w:numPr>
        <w:tabs>
          <w:tab w:val="left" w:pos="-1440"/>
        </w:tabs>
        <w:ind w:left="720" w:hanging="720"/>
        <w:jc w:val="both"/>
        <w:rPr>
          <w:szCs w:val="20"/>
        </w:rPr>
      </w:pPr>
      <w:r>
        <w:rPr>
          <w:szCs w:val="20"/>
        </w:rPr>
        <w:t>(30</w:t>
      </w:r>
      <w:r w:rsidRPr="00BF1D7C">
        <w:rPr>
          <w:szCs w:val="20"/>
        </w:rPr>
        <w:t>)</w:t>
      </w:r>
      <w:r w:rsidRPr="00BF1D7C">
        <w:rPr>
          <w:szCs w:val="20"/>
        </w:rPr>
        <w:tab/>
        <w:t>Oak Park (PE - Cook County Consortium)</w:t>
      </w:r>
    </w:p>
    <w:p w:rsidR="002116BF" w:rsidRPr="00BF1D7C" w:rsidRDefault="002116BF" w:rsidP="002116BF">
      <w:pPr>
        <w:pStyle w:val="1"/>
        <w:numPr>
          <w:ilvl w:val="0"/>
          <w:numId w:val="0"/>
        </w:numPr>
        <w:tabs>
          <w:tab w:val="left" w:pos="-1440"/>
        </w:tabs>
        <w:jc w:val="both"/>
        <w:rPr>
          <w:szCs w:val="20"/>
        </w:rPr>
      </w:pPr>
      <w:r>
        <w:rPr>
          <w:szCs w:val="20"/>
        </w:rPr>
        <w:t>(31</w:t>
      </w:r>
      <w:r w:rsidRPr="00BF1D7C">
        <w:rPr>
          <w:szCs w:val="20"/>
        </w:rPr>
        <w:t>)</w:t>
      </w:r>
      <w:r w:rsidRPr="00BF1D7C">
        <w:rPr>
          <w:szCs w:val="20"/>
        </w:rPr>
        <w:tab/>
        <w:t>Palatine</w:t>
      </w:r>
    </w:p>
    <w:p w:rsidR="002116BF" w:rsidRPr="00BF1D7C" w:rsidRDefault="002116BF" w:rsidP="002116BF">
      <w:pPr>
        <w:pStyle w:val="1"/>
        <w:numPr>
          <w:ilvl w:val="0"/>
          <w:numId w:val="0"/>
        </w:numPr>
        <w:tabs>
          <w:tab w:val="left" w:pos="-1440"/>
        </w:tabs>
        <w:jc w:val="both"/>
        <w:rPr>
          <w:szCs w:val="20"/>
        </w:rPr>
      </w:pPr>
      <w:r>
        <w:rPr>
          <w:szCs w:val="20"/>
        </w:rPr>
        <w:t>(32</w:t>
      </w:r>
      <w:r w:rsidRPr="00BF1D7C">
        <w:rPr>
          <w:szCs w:val="20"/>
        </w:rPr>
        <w:t>)</w:t>
      </w:r>
      <w:r w:rsidRPr="00BF1D7C">
        <w:rPr>
          <w:szCs w:val="20"/>
        </w:rPr>
        <w:tab/>
      </w:r>
      <w:proofErr w:type="spellStart"/>
      <w:r w:rsidRPr="00BF1D7C">
        <w:rPr>
          <w:szCs w:val="20"/>
        </w:rPr>
        <w:t>Pekin</w:t>
      </w:r>
      <w:proofErr w:type="spellEnd"/>
    </w:p>
    <w:p w:rsidR="002116BF" w:rsidRPr="00BF1D7C" w:rsidRDefault="002116BF" w:rsidP="002116BF">
      <w:pPr>
        <w:pStyle w:val="1"/>
        <w:numPr>
          <w:ilvl w:val="0"/>
          <w:numId w:val="0"/>
        </w:numPr>
        <w:tabs>
          <w:tab w:val="left" w:pos="-1440"/>
        </w:tabs>
        <w:jc w:val="both"/>
        <w:rPr>
          <w:szCs w:val="20"/>
        </w:rPr>
      </w:pPr>
      <w:r>
        <w:rPr>
          <w:szCs w:val="20"/>
        </w:rPr>
        <w:t>(33</w:t>
      </w:r>
      <w:r w:rsidRPr="00BF1D7C">
        <w:rPr>
          <w:szCs w:val="20"/>
        </w:rPr>
        <w:t>)</w:t>
      </w:r>
      <w:r w:rsidRPr="00BF1D7C">
        <w:rPr>
          <w:szCs w:val="20"/>
        </w:rPr>
        <w:tab/>
        <w:t>Peoria</w:t>
      </w:r>
    </w:p>
    <w:p w:rsidR="002116BF" w:rsidRPr="00BF1D7C" w:rsidRDefault="002116BF" w:rsidP="002116BF">
      <w:pPr>
        <w:pStyle w:val="1"/>
        <w:numPr>
          <w:ilvl w:val="0"/>
          <w:numId w:val="0"/>
        </w:numPr>
        <w:tabs>
          <w:tab w:val="left" w:pos="-1440"/>
        </w:tabs>
        <w:jc w:val="both"/>
        <w:rPr>
          <w:szCs w:val="20"/>
        </w:rPr>
      </w:pPr>
      <w:r>
        <w:rPr>
          <w:szCs w:val="20"/>
        </w:rPr>
        <w:t>(34)</w:t>
      </w:r>
      <w:r>
        <w:rPr>
          <w:szCs w:val="20"/>
        </w:rPr>
        <w:tab/>
        <w:t>Rantoul</w:t>
      </w:r>
    </w:p>
    <w:p w:rsidR="002116BF" w:rsidRPr="00BF1D7C" w:rsidRDefault="002116BF" w:rsidP="002116BF">
      <w:pPr>
        <w:pStyle w:val="1"/>
        <w:numPr>
          <w:ilvl w:val="0"/>
          <w:numId w:val="0"/>
        </w:numPr>
        <w:tabs>
          <w:tab w:val="left" w:pos="-1440"/>
        </w:tabs>
        <w:jc w:val="both"/>
        <w:rPr>
          <w:szCs w:val="20"/>
        </w:rPr>
      </w:pPr>
      <w:r w:rsidRPr="00BF1D7C">
        <w:rPr>
          <w:szCs w:val="20"/>
        </w:rPr>
        <w:t>(3</w:t>
      </w:r>
      <w:r>
        <w:rPr>
          <w:szCs w:val="20"/>
        </w:rPr>
        <w:t>5)</w:t>
      </w:r>
      <w:r>
        <w:rPr>
          <w:szCs w:val="20"/>
        </w:rPr>
        <w:tab/>
        <w:t>Rock Island</w:t>
      </w:r>
    </w:p>
    <w:p w:rsidR="002116BF" w:rsidRPr="00BF1D7C" w:rsidRDefault="002116BF" w:rsidP="002116BF">
      <w:pPr>
        <w:pStyle w:val="1"/>
        <w:numPr>
          <w:ilvl w:val="0"/>
          <w:numId w:val="0"/>
        </w:numPr>
        <w:tabs>
          <w:tab w:val="left" w:pos="-1440"/>
        </w:tabs>
        <w:jc w:val="both"/>
        <w:rPr>
          <w:szCs w:val="20"/>
        </w:rPr>
      </w:pPr>
      <w:r>
        <w:rPr>
          <w:szCs w:val="20"/>
        </w:rPr>
        <w:t>(36)</w:t>
      </w:r>
      <w:r>
        <w:rPr>
          <w:szCs w:val="20"/>
        </w:rPr>
        <w:tab/>
        <w:t>Rockford</w:t>
      </w:r>
    </w:p>
    <w:p w:rsidR="002116BF" w:rsidRPr="00BF1D7C" w:rsidRDefault="002116BF" w:rsidP="002116BF">
      <w:pPr>
        <w:pStyle w:val="1"/>
        <w:numPr>
          <w:ilvl w:val="0"/>
          <w:numId w:val="0"/>
        </w:numPr>
        <w:tabs>
          <w:tab w:val="left" w:pos="-1440"/>
        </w:tabs>
        <w:jc w:val="both"/>
        <w:rPr>
          <w:szCs w:val="20"/>
        </w:rPr>
      </w:pPr>
      <w:r>
        <w:rPr>
          <w:szCs w:val="20"/>
        </w:rPr>
        <w:t>(37</w:t>
      </w:r>
      <w:r w:rsidRPr="00BF1D7C">
        <w:rPr>
          <w:szCs w:val="20"/>
        </w:rPr>
        <w:t>)</w:t>
      </w:r>
      <w:r w:rsidRPr="00BF1D7C">
        <w:rPr>
          <w:szCs w:val="20"/>
        </w:rPr>
        <w:tab/>
        <w:t>Schaumburg</w:t>
      </w:r>
    </w:p>
    <w:p w:rsidR="002116BF" w:rsidRPr="00BF1D7C" w:rsidRDefault="002116BF" w:rsidP="002116BF">
      <w:pPr>
        <w:pStyle w:val="1"/>
        <w:numPr>
          <w:ilvl w:val="0"/>
          <w:numId w:val="0"/>
        </w:numPr>
        <w:tabs>
          <w:tab w:val="left" w:pos="-1440"/>
        </w:tabs>
        <w:jc w:val="both"/>
        <w:rPr>
          <w:szCs w:val="20"/>
        </w:rPr>
      </w:pPr>
      <w:r>
        <w:rPr>
          <w:szCs w:val="20"/>
        </w:rPr>
        <w:t>(38</w:t>
      </w:r>
      <w:r w:rsidRPr="00BF1D7C">
        <w:rPr>
          <w:szCs w:val="20"/>
        </w:rPr>
        <w:t>)</w:t>
      </w:r>
      <w:r w:rsidRPr="00BF1D7C">
        <w:rPr>
          <w:szCs w:val="20"/>
        </w:rPr>
        <w:tab/>
        <w:t>Skokie</w:t>
      </w:r>
    </w:p>
    <w:p w:rsidR="002116BF" w:rsidRPr="00BF1D7C" w:rsidRDefault="002116BF" w:rsidP="002116BF">
      <w:pPr>
        <w:pStyle w:val="1"/>
        <w:numPr>
          <w:ilvl w:val="0"/>
          <w:numId w:val="0"/>
        </w:numPr>
        <w:tabs>
          <w:tab w:val="left" w:pos="-1440"/>
        </w:tabs>
        <w:jc w:val="both"/>
        <w:rPr>
          <w:szCs w:val="20"/>
        </w:rPr>
      </w:pPr>
      <w:r>
        <w:rPr>
          <w:szCs w:val="20"/>
        </w:rPr>
        <w:t>(39</w:t>
      </w:r>
      <w:r w:rsidRPr="00BF1D7C">
        <w:rPr>
          <w:szCs w:val="20"/>
        </w:rPr>
        <w:t>)</w:t>
      </w:r>
      <w:r w:rsidRPr="00BF1D7C">
        <w:rPr>
          <w:szCs w:val="20"/>
        </w:rPr>
        <w:tab/>
        <w:t>Springfield</w:t>
      </w:r>
    </w:p>
    <w:p w:rsidR="002116BF" w:rsidRPr="00BF1D7C" w:rsidRDefault="002116BF" w:rsidP="002116BF">
      <w:pPr>
        <w:pStyle w:val="1"/>
        <w:numPr>
          <w:ilvl w:val="0"/>
          <w:numId w:val="0"/>
        </w:numPr>
        <w:tabs>
          <w:tab w:val="left" w:pos="-1440"/>
        </w:tabs>
        <w:jc w:val="both"/>
        <w:rPr>
          <w:szCs w:val="20"/>
        </w:rPr>
      </w:pPr>
      <w:r>
        <w:rPr>
          <w:szCs w:val="20"/>
        </w:rPr>
        <w:t>(40</w:t>
      </w:r>
      <w:r w:rsidRPr="00BF1D7C">
        <w:rPr>
          <w:szCs w:val="20"/>
        </w:rPr>
        <w:t>)</w:t>
      </w:r>
      <w:r w:rsidRPr="00BF1D7C">
        <w:rPr>
          <w:szCs w:val="20"/>
        </w:rPr>
        <w:tab/>
        <w:t>Urbana</w:t>
      </w:r>
      <w:r w:rsidRPr="00BF1D7C">
        <w:rPr>
          <w:szCs w:val="20"/>
        </w:rPr>
        <w:tab/>
        <w:t>(LE)</w:t>
      </w:r>
    </w:p>
    <w:p w:rsidR="002116BF" w:rsidRPr="00BF1D7C" w:rsidRDefault="002116BF" w:rsidP="002116BF">
      <w:pPr>
        <w:pStyle w:val="1"/>
        <w:numPr>
          <w:ilvl w:val="0"/>
          <w:numId w:val="0"/>
        </w:numPr>
        <w:tabs>
          <w:tab w:val="left" w:pos="-1440"/>
        </w:tabs>
        <w:ind w:left="720" w:hanging="720"/>
        <w:jc w:val="both"/>
        <w:rPr>
          <w:szCs w:val="20"/>
        </w:rPr>
      </w:pPr>
      <w:r>
        <w:rPr>
          <w:szCs w:val="20"/>
        </w:rPr>
        <w:t>(41</w:t>
      </w:r>
      <w:r w:rsidRPr="00BF1D7C">
        <w:rPr>
          <w:szCs w:val="20"/>
        </w:rPr>
        <w:t>)</w:t>
      </w:r>
      <w:r w:rsidRPr="00BF1D7C">
        <w:rPr>
          <w:szCs w:val="20"/>
        </w:rPr>
        <w:tab/>
        <w:t>Waukegan (PE – Lake County Consortium)</w:t>
      </w:r>
    </w:p>
    <w:p w:rsidR="002116BF" w:rsidRPr="00BF1D7C" w:rsidRDefault="002116BF" w:rsidP="002116BF">
      <w:pPr>
        <w:pStyle w:val="1"/>
        <w:numPr>
          <w:ilvl w:val="0"/>
          <w:numId w:val="0"/>
        </w:numPr>
        <w:tabs>
          <w:tab w:val="left" w:pos="-1440"/>
        </w:tabs>
        <w:ind w:left="720" w:hanging="720"/>
        <w:jc w:val="both"/>
        <w:rPr>
          <w:szCs w:val="20"/>
        </w:rPr>
      </w:pPr>
      <w:r>
        <w:rPr>
          <w:szCs w:val="20"/>
        </w:rPr>
        <w:t>(42</w:t>
      </w:r>
      <w:r w:rsidRPr="00BF1D7C">
        <w:rPr>
          <w:szCs w:val="20"/>
        </w:rPr>
        <w:t>)</w:t>
      </w:r>
      <w:r w:rsidRPr="00BF1D7C">
        <w:rPr>
          <w:szCs w:val="20"/>
        </w:rPr>
        <w:tab/>
        <w:t xml:space="preserve">Wheaton (PE- </w:t>
      </w:r>
      <w:proofErr w:type="spellStart"/>
      <w:r w:rsidRPr="00BF1D7C">
        <w:rPr>
          <w:szCs w:val="20"/>
        </w:rPr>
        <w:t>DuPage</w:t>
      </w:r>
      <w:proofErr w:type="spellEnd"/>
      <w:r w:rsidRPr="00BF1D7C">
        <w:rPr>
          <w:szCs w:val="20"/>
        </w:rPr>
        <w:t xml:space="preserve"> County Consortium)</w:t>
      </w:r>
    </w:p>
    <w:p w:rsidR="002116BF" w:rsidRPr="00BF1D7C" w:rsidRDefault="002116BF" w:rsidP="002116BF">
      <w:pPr>
        <w:pStyle w:val="1"/>
        <w:numPr>
          <w:ilvl w:val="0"/>
          <w:numId w:val="0"/>
        </w:numPr>
        <w:tabs>
          <w:tab w:val="left" w:pos="-1440"/>
        </w:tabs>
        <w:jc w:val="both"/>
        <w:rPr>
          <w:szCs w:val="20"/>
        </w:rPr>
      </w:pPr>
    </w:p>
    <w:p w:rsidR="002116BF" w:rsidRPr="00BF1D7C" w:rsidRDefault="002116BF" w:rsidP="002116BF">
      <w:pPr>
        <w:pStyle w:val="1"/>
        <w:numPr>
          <w:ilvl w:val="0"/>
          <w:numId w:val="0"/>
        </w:numPr>
        <w:tabs>
          <w:tab w:val="left" w:pos="-1440"/>
        </w:tabs>
        <w:jc w:val="both"/>
        <w:rPr>
          <w:szCs w:val="20"/>
        </w:rPr>
      </w:pPr>
      <w:r w:rsidRPr="00BF1D7C">
        <w:rPr>
          <w:szCs w:val="20"/>
        </w:rPr>
        <w:t>Counties:</w:t>
      </w:r>
      <w:r w:rsidRPr="00BF1D7C">
        <w:rPr>
          <w:szCs w:val="20"/>
        </w:rPr>
        <w:tab/>
      </w:r>
    </w:p>
    <w:p w:rsidR="002116BF" w:rsidRPr="00BF1D7C" w:rsidRDefault="002116BF" w:rsidP="002116BF">
      <w:pPr>
        <w:pStyle w:val="1"/>
        <w:numPr>
          <w:ilvl w:val="0"/>
          <w:numId w:val="0"/>
        </w:numPr>
        <w:tabs>
          <w:tab w:val="left" w:pos="-1440"/>
        </w:tabs>
        <w:jc w:val="both"/>
        <w:rPr>
          <w:szCs w:val="20"/>
        </w:rPr>
      </w:pPr>
      <w:r>
        <w:rPr>
          <w:szCs w:val="20"/>
        </w:rPr>
        <w:t>(43</w:t>
      </w:r>
      <w:r w:rsidRPr="00BF1D7C">
        <w:rPr>
          <w:szCs w:val="20"/>
        </w:rPr>
        <w:t>)</w:t>
      </w:r>
      <w:r w:rsidRPr="00BF1D7C">
        <w:rPr>
          <w:szCs w:val="20"/>
        </w:rPr>
        <w:tab/>
        <w:t>Cook County (LE)</w:t>
      </w:r>
    </w:p>
    <w:p w:rsidR="002116BF" w:rsidRDefault="002116BF" w:rsidP="002116BF">
      <w:pPr>
        <w:pStyle w:val="1"/>
        <w:numPr>
          <w:ilvl w:val="0"/>
          <w:numId w:val="0"/>
        </w:numPr>
        <w:tabs>
          <w:tab w:val="left" w:pos="-1440"/>
        </w:tabs>
        <w:jc w:val="both"/>
        <w:rPr>
          <w:szCs w:val="20"/>
        </w:rPr>
      </w:pPr>
      <w:r>
        <w:rPr>
          <w:szCs w:val="20"/>
        </w:rPr>
        <w:t>(44</w:t>
      </w:r>
      <w:r w:rsidRPr="00BF1D7C">
        <w:rPr>
          <w:szCs w:val="20"/>
        </w:rPr>
        <w:t>)</w:t>
      </w:r>
      <w:r w:rsidRPr="00BF1D7C">
        <w:rPr>
          <w:szCs w:val="20"/>
        </w:rPr>
        <w:tab/>
        <w:t>Champaign County (PE</w:t>
      </w:r>
      <w:r>
        <w:rPr>
          <w:szCs w:val="20"/>
        </w:rPr>
        <w:t xml:space="preserve"> – Urbana</w:t>
      </w:r>
    </w:p>
    <w:p w:rsidR="002116BF" w:rsidRPr="00BF1D7C" w:rsidRDefault="002116BF" w:rsidP="002116BF">
      <w:pPr>
        <w:pStyle w:val="1"/>
        <w:numPr>
          <w:ilvl w:val="0"/>
          <w:numId w:val="0"/>
        </w:numPr>
        <w:tabs>
          <w:tab w:val="left" w:pos="-1440"/>
        </w:tabs>
        <w:jc w:val="both"/>
        <w:rPr>
          <w:szCs w:val="20"/>
        </w:rPr>
      </w:pPr>
      <w:r>
        <w:rPr>
          <w:szCs w:val="20"/>
        </w:rPr>
        <w:tab/>
      </w:r>
      <w:r>
        <w:rPr>
          <w:szCs w:val="20"/>
        </w:rPr>
        <w:tab/>
      </w:r>
      <w:r>
        <w:rPr>
          <w:szCs w:val="20"/>
        </w:rPr>
        <w:tab/>
      </w:r>
      <w:r>
        <w:rPr>
          <w:szCs w:val="20"/>
        </w:rPr>
        <w:tab/>
        <w:t xml:space="preserve"> Consortium</w:t>
      </w:r>
      <w:r w:rsidRPr="00BF1D7C">
        <w:rPr>
          <w:szCs w:val="20"/>
        </w:rPr>
        <w:t>)</w:t>
      </w:r>
    </w:p>
    <w:p w:rsidR="002116BF" w:rsidRPr="00BF1D7C" w:rsidRDefault="002116BF" w:rsidP="002116BF">
      <w:pPr>
        <w:pStyle w:val="1"/>
        <w:numPr>
          <w:ilvl w:val="0"/>
          <w:numId w:val="0"/>
        </w:numPr>
        <w:tabs>
          <w:tab w:val="left" w:pos="-1440"/>
        </w:tabs>
        <w:jc w:val="both"/>
        <w:rPr>
          <w:szCs w:val="20"/>
        </w:rPr>
      </w:pPr>
      <w:r>
        <w:rPr>
          <w:szCs w:val="20"/>
        </w:rPr>
        <w:t>(45</w:t>
      </w:r>
      <w:r w:rsidRPr="00BF1D7C">
        <w:rPr>
          <w:szCs w:val="20"/>
        </w:rPr>
        <w:t>)</w:t>
      </w:r>
      <w:r w:rsidRPr="00BF1D7C">
        <w:rPr>
          <w:szCs w:val="20"/>
        </w:rPr>
        <w:tab/>
      </w:r>
      <w:proofErr w:type="spellStart"/>
      <w:r w:rsidRPr="00BF1D7C">
        <w:rPr>
          <w:szCs w:val="20"/>
        </w:rPr>
        <w:t>DuPage</w:t>
      </w:r>
      <w:proofErr w:type="spellEnd"/>
      <w:r w:rsidRPr="00BF1D7C">
        <w:rPr>
          <w:szCs w:val="20"/>
        </w:rPr>
        <w:t xml:space="preserve"> County</w:t>
      </w:r>
      <w:r w:rsidRPr="00BF1D7C">
        <w:rPr>
          <w:szCs w:val="20"/>
        </w:rPr>
        <w:tab/>
        <w:t>(LE)</w:t>
      </w:r>
    </w:p>
    <w:p w:rsidR="002116BF" w:rsidRPr="00BF1D7C" w:rsidRDefault="002116BF" w:rsidP="002116BF">
      <w:pPr>
        <w:pStyle w:val="1"/>
        <w:numPr>
          <w:ilvl w:val="0"/>
          <w:numId w:val="0"/>
        </w:numPr>
        <w:tabs>
          <w:tab w:val="left" w:pos="-1440"/>
        </w:tabs>
        <w:jc w:val="both"/>
        <w:rPr>
          <w:szCs w:val="20"/>
        </w:rPr>
      </w:pPr>
      <w:r>
        <w:rPr>
          <w:szCs w:val="20"/>
        </w:rPr>
        <w:t>(46</w:t>
      </w:r>
      <w:r w:rsidRPr="00BF1D7C">
        <w:rPr>
          <w:szCs w:val="20"/>
        </w:rPr>
        <w:t>)</w:t>
      </w:r>
      <w:r w:rsidRPr="00BF1D7C">
        <w:rPr>
          <w:szCs w:val="20"/>
        </w:rPr>
        <w:tab/>
        <w:t>Kane County</w:t>
      </w:r>
      <w:r>
        <w:rPr>
          <w:szCs w:val="20"/>
        </w:rPr>
        <w:t xml:space="preserve"> (LE)</w:t>
      </w:r>
    </w:p>
    <w:p w:rsidR="002116BF" w:rsidRPr="00BF1D7C" w:rsidRDefault="002116BF" w:rsidP="002116BF">
      <w:pPr>
        <w:pStyle w:val="Level1"/>
        <w:numPr>
          <w:ilvl w:val="0"/>
          <w:numId w:val="0"/>
        </w:numPr>
        <w:tabs>
          <w:tab w:val="left" w:pos="-1440"/>
        </w:tabs>
        <w:jc w:val="both"/>
        <w:rPr>
          <w:szCs w:val="20"/>
        </w:rPr>
      </w:pPr>
      <w:r w:rsidRPr="00BF1D7C">
        <w:rPr>
          <w:szCs w:val="20"/>
        </w:rPr>
        <w:t>(4</w:t>
      </w:r>
      <w:r>
        <w:rPr>
          <w:szCs w:val="20"/>
        </w:rPr>
        <w:t>7</w:t>
      </w:r>
      <w:r w:rsidRPr="00BF1D7C">
        <w:rPr>
          <w:szCs w:val="20"/>
        </w:rPr>
        <w:t>)</w:t>
      </w:r>
      <w:r w:rsidRPr="00BF1D7C">
        <w:rPr>
          <w:szCs w:val="20"/>
        </w:rPr>
        <w:tab/>
        <w:t>Lake County (LE)</w:t>
      </w:r>
    </w:p>
    <w:p w:rsidR="002116BF" w:rsidRPr="00BF1D7C" w:rsidRDefault="002116BF" w:rsidP="002116BF">
      <w:pPr>
        <w:pStyle w:val="Level1"/>
        <w:numPr>
          <w:ilvl w:val="0"/>
          <w:numId w:val="0"/>
        </w:numPr>
        <w:tabs>
          <w:tab w:val="left" w:pos="-1440"/>
        </w:tabs>
        <w:jc w:val="both"/>
        <w:rPr>
          <w:szCs w:val="20"/>
        </w:rPr>
      </w:pPr>
      <w:r>
        <w:rPr>
          <w:szCs w:val="20"/>
        </w:rPr>
        <w:t>(48</w:t>
      </w:r>
      <w:r w:rsidRPr="00BF1D7C">
        <w:rPr>
          <w:szCs w:val="20"/>
        </w:rPr>
        <w:t>)</w:t>
      </w:r>
      <w:r w:rsidRPr="00BF1D7C">
        <w:rPr>
          <w:szCs w:val="20"/>
        </w:rPr>
        <w:tab/>
        <w:t>Madison County</w:t>
      </w:r>
      <w:r>
        <w:rPr>
          <w:szCs w:val="20"/>
        </w:rPr>
        <w:t xml:space="preserve"> (LE)</w:t>
      </w:r>
    </w:p>
    <w:p w:rsidR="002116BF" w:rsidRPr="00BF1D7C" w:rsidRDefault="002116BF" w:rsidP="002116BF">
      <w:pPr>
        <w:pStyle w:val="Level1"/>
        <w:numPr>
          <w:ilvl w:val="0"/>
          <w:numId w:val="0"/>
        </w:numPr>
        <w:tabs>
          <w:tab w:val="left" w:pos="-1440"/>
        </w:tabs>
        <w:jc w:val="both"/>
        <w:rPr>
          <w:szCs w:val="20"/>
        </w:rPr>
      </w:pPr>
      <w:r>
        <w:rPr>
          <w:szCs w:val="20"/>
        </w:rPr>
        <w:t>(49)</w:t>
      </w:r>
      <w:r>
        <w:rPr>
          <w:szCs w:val="20"/>
        </w:rPr>
        <w:tab/>
      </w:r>
      <w:r w:rsidRPr="00BF1D7C">
        <w:rPr>
          <w:szCs w:val="20"/>
        </w:rPr>
        <w:t>McHenry County</w:t>
      </w:r>
      <w:r w:rsidRPr="00BF1D7C">
        <w:rPr>
          <w:szCs w:val="20"/>
        </w:rPr>
        <w:tab/>
      </w:r>
    </w:p>
    <w:p w:rsidR="002116BF" w:rsidRPr="00BF1D7C" w:rsidRDefault="002116BF" w:rsidP="002116BF">
      <w:pPr>
        <w:pStyle w:val="Level1"/>
        <w:numPr>
          <w:ilvl w:val="0"/>
          <w:numId w:val="0"/>
        </w:numPr>
        <w:tabs>
          <w:tab w:val="left" w:pos="-1440"/>
        </w:tabs>
        <w:jc w:val="both"/>
        <w:rPr>
          <w:szCs w:val="20"/>
        </w:rPr>
      </w:pPr>
      <w:r>
        <w:rPr>
          <w:szCs w:val="20"/>
        </w:rPr>
        <w:t>(50</w:t>
      </w:r>
      <w:r w:rsidRPr="00BF1D7C">
        <w:rPr>
          <w:szCs w:val="20"/>
        </w:rPr>
        <w:t>)</w:t>
      </w:r>
      <w:r w:rsidRPr="00BF1D7C">
        <w:rPr>
          <w:szCs w:val="20"/>
        </w:rPr>
        <w:tab/>
        <w:t>St. Clair County (LE)</w:t>
      </w:r>
    </w:p>
    <w:p w:rsidR="002116BF" w:rsidRPr="00BF1D7C" w:rsidRDefault="002116BF" w:rsidP="002116BF">
      <w:pPr>
        <w:pStyle w:val="Level1"/>
        <w:numPr>
          <w:ilvl w:val="0"/>
          <w:numId w:val="0"/>
        </w:numPr>
        <w:tabs>
          <w:tab w:val="left" w:pos="-1440"/>
        </w:tabs>
        <w:jc w:val="both"/>
        <w:rPr>
          <w:szCs w:val="20"/>
        </w:rPr>
      </w:pPr>
      <w:r>
        <w:rPr>
          <w:szCs w:val="20"/>
        </w:rPr>
        <w:t>(51</w:t>
      </w:r>
      <w:r w:rsidRPr="00BF1D7C">
        <w:rPr>
          <w:szCs w:val="20"/>
        </w:rPr>
        <w:t>)</w:t>
      </w:r>
      <w:r w:rsidRPr="00BF1D7C">
        <w:rPr>
          <w:szCs w:val="20"/>
        </w:rPr>
        <w:tab/>
        <w:t>Will County</w:t>
      </w:r>
    </w:p>
    <w:p w:rsidR="002116BF" w:rsidRDefault="002116BF" w:rsidP="002116BF">
      <w:pPr>
        <w:tabs>
          <w:tab w:val="left" w:pos="-1440"/>
        </w:tabs>
        <w:jc w:val="both"/>
        <w:rPr>
          <w:rFonts w:ascii="CG Times" w:hAnsi="CG Times"/>
        </w:rPr>
        <w:sectPr w:rsidR="002116BF" w:rsidSect="007F5835">
          <w:type w:val="continuous"/>
          <w:pgSz w:w="12240" w:h="15840"/>
          <w:pgMar w:top="1440" w:right="1440" w:bottom="1440" w:left="1440" w:header="432" w:footer="720" w:gutter="0"/>
          <w:cols w:num="2" w:space="720"/>
          <w:titlePg/>
          <w:docGrid w:linePitch="326"/>
        </w:sectPr>
      </w:pPr>
    </w:p>
    <w:p w:rsidR="002116BF" w:rsidRDefault="002116BF" w:rsidP="002116BF">
      <w:pPr>
        <w:tabs>
          <w:tab w:val="left" w:pos="-1440"/>
        </w:tabs>
        <w:jc w:val="both"/>
        <w:rPr>
          <w:rFonts w:ascii="CG Times" w:hAnsi="CG Times"/>
        </w:rPr>
      </w:pPr>
    </w:p>
    <w:p w:rsidR="002116BF" w:rsidRPr="007F5835" w:rsidRDefault="002116BF" w:rsidP="002116BF">
      <w:pPr>
        <w:tabs>
          <w:tab w:val="left" w:pos="-1440"/>
        </w:tabs>
        <w:jc w:val="both"/>
        <w:rPr>
          <w:rFonts w:ascii="Times New Roman" w:hAnsi="Times New Roman"/>
        </w:rPr>
      </w:pPr>
    </w:p>
    <w:p w:rsidR="002116BF" w:rsidRPr="007F5835" w:rsidRDefault="002116BF" w:rsidP="002116BF">
      <w:pPr>
        <w:tabs>
          <w:tab w:val="left" w:pos="-1440"/>
        </w:tabs>
        <w:ind w:left="5760" w:hanging="5760"/>
        <w:jc w:val="both"/>
        <w:rPr>
          <w:rFonts w:ascii="Times New Roman" w:hAnsi="Times New Roman"/>
          <w:sz w:val="20"/>
        </w:rPr>
      </w:pPr>
      <w:r w:rsidRPr="007F5835">
        <w:rPr>
          <w:rFonts w:ascii="Times New Roman" w:hAnsi="Times New Roman"/>
          <w:sz w:val="20"/>
        </w:rPr>
        <w:t>PE = Participating Entity in a HOME Consortium</w:t>
      </w:r>
      <w:r w:rsidRPr="007F5835">
        <w:rPr>
          <w:rFonts w:ascii="Times New Roman" w:hAnsi="Times New Roman"/>
          <w:sz w:val="20"/>
        </w:rPr>
        <w:tab/>
        <w:t>LE = Lead Entity of a HOME Consortium</w:t>
      </w:r>
    </w:p>
    <w:p w:rsidR="002116BF" w:rsidRPr="007F5835" w:rsidRDefault="002116BF" w:rsidP="002116BF">
      <w:pPr>
        <w:tabs>
          <w:tab w:val="left" w:pos="-1440"/>
        </w:tabs>
        <w:jc w:val="both"/>
        <w:rPr>
          <w:rFonts w:ascii="Times New Roman" w:hAnsi="Times New Roman"/>
          <w:sz w:val="20"/>
        </w:rPr>
      </w:pPr>
    </w:p>
    <w:p w:rsidR="002116BF" w:rsidRPr="00550C95" w:rsidRDefault="002116BF" w:rsidP="002116BF">
      <w:pPr>
        <w:tabs>
          <w:tab w:val="left" w:pos="-1440"/>
        </w:tabs>
        <w:ind w:left="1440" w:hanging="1440"/>
        <w:rPr>
          <w:rFonts w:ascii="Times New Roman" w:hAnsi="Times New Roman"/>
        </w:rPr>
      </w:pPr>
      <w:r w:rsidRPr="007F5835">
        <w:rPr>
          <w:rFonts w:ascii="Times New Roman" w:hAnsi="Times New Roman"/>
          <w:sz w:val="20"/>
        </w:rPr>
        <w:t>NOTE:</w:t>
      </w:r>
      <w:r w:rsidRPr="007F5835">
        <w:rPr>
          <w:rFonts w:ascii="Times New Roman" w:hAnsi="Times New Roman"/>
          <w:sz w:val="20"/>
        </w:rPr>
        <w:tab/>
        <w:t xml:space="preserve">A Certification of Consistency for “participating entities” of a HOME Consortium should be </w:t>
      </w:r>
      <w:r w:rsidRPr="00550C95">
        <w:rPr>
          <w:rFonts w:ascii="Times New Roman" w:hAnsi="Times New Roman"/>
          <w:sz w:val="20"/>
        </w:rPr>
        <w:t xml:space="preserve">obtained from the lead entity.  The lead entity for each participating entity is noted beside each participating entity.  For lead entity contact information, contact Burton Hughes at 312/836-5320 or Pearl </w:t>
      </w:r>
      <w:proofErr w:type="spellStart"/>
      <w:r w:rsidRPr="00550C95">
        <w:rPr>
          <w:rFonts w:ascii="Times New Roman" w:hAnsi="Times New Roman"/>
          <w:sz w:val="20"/>
        </w:rPr>
        <w:t>Madlock</w:t>
      </w:r>
      <w:proofErr w:type="spellEnd"/>
      <w:r w:rsidRPr="00550C95">
        <w:rPr>
          <w:rFonts w:ascii="Times New Roman" w:hAnsi="Times New Roman"/>
          <w:sz w:val="20"/>
        </w:rPr>
        <w:t xml:space="preserve"> at 312/836-5262.</w:t>
      </w:r>
    </w:p>
    <w:p w:rsidR="002116BF" w:rsidRPr="007F5835" w:rsidRDefault="002116BF" w:rsidP="002116BF">
      <w:pPr>
        <w:rPr>
          <w:rFonts w:ascii="Times New Roman" w:hAnsi="Times New Roman"/>
          <w:sz w:val="20"/>
        </w:rPr>
      </w:pPr>
    </w:p>
    <w:p w:rsidR="002116BF" w:rsidRPr="007F5835" w:rsidRDefault="002116BF" w:rsidP="002116BF">
      <w:pPr>
        <w:tabs>
          <w:tab w:val="left" w:pos="5250"/>
        </w:tabs>
        <w:rPr>
          <w:rFonts w:ascii="Times New Roman" w:hAnsi="Times New Roman"/>
          <w:sz w:val="20"/>
        </w:rPr>
      </w:pPr>
      <w:r w:rsidRPr="007F5835">
        <w:rPr>
          <w:rFonts w:ascii="Times New Roman" w:hAnsi="Times New Roman"/>
          <w:sz w:val="20"/>
        </w:rPr>
        <w:tab/>
      </w:r>
    </w:p>
    <w:p w:rsidR="002116BF" w:rsidRPr="007F5835" w:rsidRDefault="002116BF" w:rsidP="002116BF">
      <w:pPr>
        <w:rPr>
          <w:rFonts w:ascii="Times New Roman" w:hAnsi="Times New Roman"/>
          <w:sz w:val="20"/>
        </w:rPr>
      </w:pPr>
    </w:p>
    <w:p w:rsidR="002116BF" w:rsidRPr="007F5835" w:rsidRDefault="002116BF" w:rsidP="002116BF">
      <w:pPr>
        <w:sectPr w:rsidR="002116BF" w:rsidRPr="007F5835" w:rsidSect="007F5835">
          <w:type w:val="continuous"/>
          <w:pgSz w:w="12240" w:h="15840"/>
          <w:pgMar w:top="1440" w:right="1440" w:bottom="1440" w:left="1440" w:header="432" w:footer="720" w:gutter="0"/>
          <w:cols w:space="720"/>
          <w:titlePg/>
          <w:docGrid w:linePitch="326"/>
        </w:sectPr>
      </w:pPr>
    </w:p>
    <w:p w:rsidR="002116BF" w:rsidRDefault="002116BF" w:rsidP="002116BF">
      <w:pPr>
        <w:tabs>
          <w:tab w:val="center" w:pos="4680"/>
        </w:tabs>
        <w:rPr>
          <w:rFonts w:ascii="Times New Roman" w:hAnsi="Times New Roman"/>
          <w:b/>
          <w:bCs/>
          <w:sz w:val="24"/>
        </w:rPr>
      </w:pPr>
      <w:r>
        <w:rPr>
          <w:rFonts w:ascii="Times New Roman" w:hAnsi="Times New Roman"/>
          <w:b/>
          <w:bCs/>
          <w:sz w:val="24"/>
        </w:rPr>
        <w:lastRenderedPageBreak/>
        <w:t>STATE OF ILLINOIS</w:t>
      </w:r>
    </w:p>
    <w:p w:rsidR="002116BF" w:rsidRDefault="002116BF" w:rsidP="002116BF">
      <w:pPr>
        <w:rPr>
          <w:rFonts w:ascii="Times New Roman" w:hAnsi="Times New Roman"/>
          <w:b/>
          <w:bCs/>
          <w:sz w:val="24"/>
        </w:rPr>
      </w:pPr>
    </w:p>
    <w:p w:rsidR="002116BF" w:rsidRDefault="002116BF" w:rsidP="002116BF">
      <w:pPr>
        <w:tabs>
          <w:tab w:val="center" w:pos="4680"/>
        </w:tabs>
        <w:rPr>
          <w:rFonts w:ascii="Times New Roman" w:hAnsi="Times New Roman"/>
          <w:b/>
          <w:bCs/>
          <w:sz w:val="24"/>
        </w:rPr>
      </w:pPr>
      <w:r>
        <w:rPr>
          <w:rFonts w:ascii="Times New Roman" w:hAnsi="Times New Roman"/>
          <w:b/>
          <w:bCs/>
          <w:sz w:val="24"/>
        </w:rPr>
        <w:tab/>
        <w:t>CERTIFICATION OF HOME CONSORTIUM</w:t>
      </w:r>
    </w:p>
    <w:p w:rsidR="002116BF" w:rsidRDefault="002116BF" w:rsidP="002116BF">
      <w:pPr>
        <w:rPr>
          <w:rFonts w:ascii="Times New Roman" w:hAnsi="Times New Roman"/>
          <w:b/>
          <w:bCs/>
          <w:sz w:val="24"/>
        </w:rPr>
      </w:pPr>
    </w:p>
    <w:p w:rsidR="002116BF" w:rsidRDefault="002116BF" w:rsidP="002116BF">
      <w:pPr>
        <w:rPr>
          <w:rFonts w:ascii="Times New Roman" w:hAnsi="Times New Roman"/>
          <w:b/>
          <w:bCs/>
          <w:sz w:val="24"/>
        </w:rPr>
      </w:pPr>
    </w:p>
    <w:p w:rsidR="002116BF" w:rsidRDefault="002116BF" w:rsidP="002116BF">
      <w:pPr>
        <w:jc w:val="both"/>
        <w:rPr>
          <w:rFonts w:ascii="Times New Roman" w:hAnsi="Times New Roman"/>
          <w:b/>
          <w:bCs/>
          <w:sz w:val="24"/>
        </w:rPr>
      </w:pPr>
      <w:r>
        <w:rPr>
          <w:rFonts w:ascii="Times New Roman" w:hAnsi="Times New Roman"/>
          <w:b/>
          <w:bCs/>
          <w:sz w:val="24"/>
        </w:rPr>
        <w:t>This is to certify that the consortium formed between the jurisdictions of _________ ______________________________________________________________________________</w:t>
      </w:r>
    </w:p>
    <w:p w:rsidR="002116BF" w:rsidRDefault="002116BF" w:rsidP="002116BF">
      <w:pPr>
        <w:jc w:val="both"/>
        <w:rPr>
          <w:rFonts w:ascii="Times New Roman" w:hAnsi="Times New Roman"/>
          <w:b/>
          <w:bCs/>
          <w:sz w:val="24"/>
        </w:rPr>
      </w:pPr>
      <w:r>
        <w:rPr>
          <w:rFonts w:ascii="Times New Roman" w:hAnsi="Times New Roman"/>
          <w:b/>
          <w:bCs/>
          <w:sz w:val="24"/>
        </w:rPr>
        <w:t>__________________</w:t>
      </w:r>
      <w:proofErr w:type="gramStart"/>
      <w:r>
        <w:rPr>
          <w:rFonts w:ascii="Times New Roman" w:hAnsi="Times New Roman"/>
          <w:b/>
          <w:bCs/>
          <w:sz w:val="24"/>
        </w:rPr>
        <w:t>and</w:t>
      </w:r>
      <w:proofErr w:type="gramEnd"/>
      <w:r>
        <w:rPr>
          <w:rFonts w:ascii="Times New Roman" w:hAnsi="Times New Roman"/>
          <w:b/>
          <w:bCs/>
          <w:sz w:val="24"/>
        </w:rPr>
        <w:t xml:space="preserve"> ________________________________________________________   </w:t>
      </w:r>
    </w:p>
    <w:p w:rsidR="002116BF" w:rsidRDefault="002116BF" w:rsidP="002116BF">
      <w:pPr>
        <w:jc w:val="both"/>
        <w:rPr>
          <w:rFonts w:ascii="Times New Roman" w:hAnsi="Times New Roman"/>
          <w:b/>
          <w:bCs/>
          <w:sz w:val="24"/>
        </w:rPr>
      </w:pPr>
      <w:proofErr w:type="gramStart"/>
      <w:r>
        <w:rPr>
          <w:rFonts w:ascii="Times New Roman" w:hAnsi="Times New Roman"/>
          <w:b/>
          <w:bCs/>
          <w:sz w:val="24"/>
        </w:rPr>
        <w:t>will</w:t>
      </w:r>
      <w:proofErr w:type="gramEnd"/>
      <w:r>
        <w:rPr>
          <w:rFonts w:ascii="Times New Roman" w:hAnsi="Times New Roman"/>
          <w:b/>
          <w:bCs/>
          <w:sz w:val="24"/>
        </w:rPr>
        <w:t xml:space="preserve"> direct its activities to the alleviation of housing problems within the State of Illinois.</w:t>
      </w:r>
    </w:p>
    <w:p w:rsidR="002116BF" w:rsidRDefault="002116BF" w:rsidP="002116BF">
      <w:pPr>
        <w:jc w:val="both"/>
        <w:rPr>
          <w:rFonts w:ascii="Times New Roman" w:hAnsi="Times New Roman"/>
          <w:b/>
          <w:bCs/>
          <w:sz w:val="24"/>
        </w:rPr>
      </w:pPr>
      <w:r>
        <w:rPr>
          <w:rFonts w:ascii="Times New Roman" w:hAnsi="Times New Roman"/>
          <w:b/>
          <w:bCs/>
          <w:sz w:val="24"/>
        </w:rPr>
        <w:t>This is in accordance with the Cranston-Gonzalez National Affordable Housing Act of 1990, Section 216(2).</w:t>
      </w:r>
    </w:p>
    <w:p w:rsidR="002116BF" w:rsidRDefault="002116BF" w:rsidP="002116BF">
      <w:pPr>
        <w:rPr>
          <w:rFonts w:ascii="Times New Roman" w:hAnsi="Times New Roman"/>
          <w:b/>
          <w:bCs/>
          <w:sz w:val="24"/>
        </w:rPr>
      </w:pPr>
    </w:p>
    <w:p w:rsidR="002116BF" w:rsidRDefault="002116BF" w:rsidP="002116BF">
      <w:pPr>
        <w:rPr>
          <w:rFonts w:ascii="Times New Roman" w:hAnsi="Times New Roman"/>
          <w:b/>
          <w:bCs/>
          <w:sz w:val="24"/>
        </w:rPr>
      </w:pPr>
    </w:p>
    <w:p w:rsidR="002116BF" w:rsidRDefault="002116BF" w:rsidP="002116BF">
      <w:pPr>
        <w:rPr>
          <w:rFonts w:ascii="Times New Roman" w:hAnsi="Times New Roman"/>
          <w:b/>
          <w:bCs/>
          <w:sz w:val="24"/>
        </w:rPr>
      </w:pPr>
    </w:p>
    <w:p w:rsidR="002116BF" w:rsidRDefault="002116BF" w:rsidP="002116BF">
      <w:pPr>
        <w:rPr>
          <w:rFonts w:ascii="Times New Roman" w:hAnsi="Times New Roman"/>
          <w:b/>
          <w:bCs/>
          <w:sz w:val="24"/>
        </w:rPr>
      </w:pPr>
    </w:p>
    <w:p w:rsidR="002116BF" w:rsidRDefault="002116BF" w:rsidP="002116BF">
      <w:pPr>
        <w:rPr>
          <w:rFonts w:ascii="Times New Roman" w:hAnsi="Times New Roman"/>
          <w:b/>
          <w:bCs/>
          <w:sz w:val="24"/>
        </w:rPr>
      </w:pPr>
    </w:p>
    <w:p w:rsidR="002116BF" w:rsidRDefault="002116BF" w:rsidP="002116BF">
      <w:pPr>
        <w:rPr>
          <w:rFonts w:ascii="Times New Roman" w:hAnsi="Times New Roman"/>
          <w:b/>
          <w:bCs/>
          <w:sz w:val="24"/>
        </w:rPr>
      </w:pPr>
    </w:p>
    <w:p w:rsidR="002116BF" w:rsidRDefault="002116BF" w:rsidP="002116BF">
      <w:pPr>
        <w:rPr>
          <w:rFonts w:ascii="Times New Roman" w:hAnsi="Times New Roman"/>
          <w:b/>
          <w:bCs/>
          <w:sz w:val="24"/>
        </w:rPr>
      </w:pPr>
    </w:p>
    <w:p w:rsidR="002116BF" w:rsidRDefault="002116BF" w:rsidP="002116BF">
      <w:pPr>
        <w:tabs>
          <w:tab w:val="center" w:pos="4680"/>
        </w:tabs>
        <w:rPr>
          <w:rFonts w:ascii="Times New Roman" w:hAnsi="Times New Roman"/>
          <w:b/>
          <w:bCs/>
          <w:sz w:val="24"/>
        </w:rPr>
      </w:pPr>
      <w:r>
        <w:rPr>
          <w:rFonts w:ascii="Times New Roman" w:hAnsi="Times New Roman"/>
          <w:b/>
          <w:bCs/>
          <w:sz w:val="24"/>
        </w:rPr>
        <w:tab/>
        <w:t>Mary R. Kenney</w:t>
      </w:r>
    </w:p>
    <w:p w:rsidR="002116BF" w:rsidRDefault="002116BF" w:rsidP="002116BF">
      <w:pPr>
        <w:tabs>
          <w:tab w:val="center" w:pos="4680"/>
        </w:tabs>
        <w:rPr>
          <w:rFonts w:ascii="Times New Roman" w:hAnsi="Times New Roman"/>
          <w:b/>
          <w:bCs/>
          <w:sz w:val="24"/>
        </w:rPr>
      </w:pPr>
      <w:r>
        <w:rPr>
          <w:rFonts w:ascii="Times New Roman" w:hAnsi="Times New Roman"/>
          <w:b/>
          <w:bCs/>
          <w:sz w:val="24"/>
        </w:rPr>
        <w:tab/>
        <w:t>Executive Director</w:t>
      </w:r>
    </w:p>
    <w:p w:rsidR="002116BF" w:rsidRDefault="002116BF" w:rsidP="002116BF">
      <w:pPr>
        <w:tabs>
          <w:tab w:val="center" w:pos="4680"/>
        </w:tabs>
        <w:rPr>
          <w:rFonts w:ascii="Times New Roman" w:hAnsi="Times New Roman"/>
          <w:b/>
          <w:bCs/>
          <w:sz w:val="24"/>
        </w:rPr>
      </w:pPr>
      <w:r>
        <w:rPr>
          <w:rFonts w:ascii="Times New Roman" w:hAnsi="Times New Roman"/>
          <w:b/>
          <w:bCs/>
          <w:sz w:val="24"/>
        </w:rPr>
        <w:tab/>
        <w:t>Illinois Housing Development Authority</w:t>
      </w:r>
    </w:p>
    <w:p w:rsidR="002116BF" w:rsidRDefault="002116BF" w:rsidP="002116BF">
      <w:pPr>
        <w:rPr>
          <w:rFonts w:ascii="Times New Roman" w:hAnsi="Times New Roman"/>
          <w:b/>
          <w:bCs/>
          <w:sz w:val="24"/>
        </w:rPr>
      </w:pPr>
    </w:p>
    <w:p w:rsidR="002116BF" w:rsidRDefault="002116BF" w:rsidP="002116BF">
      <w:pPr>
        <w:tabs>
          <w:tab w:val="center" w:pos="4680"/>
        </w:tabs>
        <w:jc w:val="center"/>
        <w:rPr>
          <w:rFonts w:ascii="Times New Roman" w:hAnsi="Times New Roman"/>
          <w:b/>
          <w:bCs/>
          <w:sz w:val="24"/>
          <w:u w:val="single"/>
        </w:rPr>
      </w:pPr>
      <w:r>
        <w:rPr>
          <w:rFonts w:ascii="Times New Roman" w:hAnsi="Times New Roman"/>
          <w:b/>
          <w:bCs/>
          <w:sz w:val="24"/>
          <w:u w:val="single"/>
        </w:rPr>
        <w:t>____________________________________</w:t>
      </w:r>
    </w:p>
    <w:p w:rsidR="002116BF" w:rsidRDefault="002116BF" w:rsidP="002116BF">
      <w:pPr>
        <w:rPr>
          <w:rFonts w:ascii="Times New Roman" w:hAnsi="Times New Roman"/>
          <w:b/>
          <w:bCs/>
          <w:sz w:val="24"/>
          <w:u w:val="single"/>
        </w:rPr>
      </w:pPr>
    </w:p>
    <w:p w:rsidR="002116BF" w:rsidRDefault="002116BF" w:rsidP="002116BF">
      <w:pPr>
        <w:pStyle w:val="Heading2"/>
      </w:pPr>
      <w:r>
        <w:t>____________________________________</w:t>
      </w:r>
    </w:p>
    <w:p w:rsidR="002116BF" w:rsidRDefault="002116BF" w:rsidP="002116BF">
      <w:pPr>
        <w:tabs>
          <w:tab w:val="center" w:pos="4680"/>
        </w:tabs>
        <w:rPr>
          <w:rFonts w:ascii="Times New Roman" w:hAnsi="Times New Roman"/>
          <w:b/>
          <w:bCs/>
          <w:sz w:val="24"/>
        </w:rPr>
      </w:pPr>
      <w:r>
        <w:rPr>
          <w:rFonts w:ascii="Times New Roman" w:hAnsi="Times New Roman"/>
          <w:b/>
          <w:bCs/>
          <w:sz w:val="24"/>
        </w:rPr>
        <w:tab/>
        <w:t>Signature-Authorized Official</w:t>
      </w:r>
    </w:p>
    <w:p w:rsidR="002116BF" w:rsidRDefault="002116BF" w:rsidP="002116BF">
      <w:pPr>
        <w:rPr>
          <w:rFonts w:ascii="Times New Roman" w:hAnsi="Times New Roman"/>
          <w:b/>
          <w:bCs/>
          <w:sz w:val="24"/>
        </w:rPr>
      </w:pPr>
    </w:p>
    <w:p w:rsidR="002116BF" w:rsidRDefault="002116BF" w:rsidP="002116BF">
      <w:pPr>
        <w:jc w:val="center"/>
        <w:rPr>
          <w:rFonts w:ascii="Times New Roman" w:hAnsi="Times New Roman"/>
          <w:b/>
          <w:bCs/>
          <w:sz w:val="24"/>
        </w:rPr>
      </w:pPr>
      <w:r>
        <w:rPr>
          <w:rFonts w:ascii="Times New Roman" w:hAnsi="Times New Roman"/>
          <w:b/>
          <w:bCs/>
          <w:sz w:val="24"/>
        </w:rPr>
        <w:t xml:space="preserve">  </w:t>
      </w:r>
      <w:r>
        <w:rPr>
          <w:rFonts w:ascii="Times New Roman" w:hAnsi="Times New Roman"/>
          <w:b/>
          <w:bCs/>
          <w:sz w:val="24"/>
          <w:u w:val="single"/>
        </w:rPr>
        <w:t xml:space="preserve"> ____________________________________</w:t>
      </w:r>
      <w:r>
        <w:rPr>
          <w:rFonts w:ascii="Times New Roman" w:hAnsi="Times New Roman"/>
          <w:b/>
          <w:bCs/>
          <w:sz w:val="24"/>
        </w:rPr>
        <w:t xml:space="preserve">  </w:t>
      </w:r>
    </w:p>
    <w:p w:rsidR="002116BF" w:rsidRDefault="002116BF" w:rsidP="002116BF">
      <w:pPr>
        <w:jc w:val="center"/>
        <w:rPr>
          <w:rFonts w:ascii="Times New Roman" w:hAnsi="Times New Roman"/>
          <w:b/>
          <w:bCs/>
          <w:sz w:val="24"/>
        </w:rPr>
      </w:pPr>
      <w:r>
        <w:rPr>
          <w:rFonts w:ascii="Times New Roman" w:hAnsi="Times New Roman"/>
          <w:b/>
          <w:bCs/>
          <w:sz w:val="24"/>
        </w:rPr>
        <w:t>Date</w:t>
      </w:r>
    </w:p>
    <w:p w:rsidR="002116BF" w:rsidRDefault="002116BF" w:rsidP="002116BF">
      <w:pPr>
        <w:jc w:val="center"/>
        <w:rPr>
          <w:rFonts w:ascii="Times New Roman" w:hAnsi="Times New Roman"/>
          <w:sz w:val="24"/>
        </w:rPr>
      </w:pPr>
    </w:p>
    <w:p w:rsidR="002116BF" w:rsidRDefault="002116BF" w:rsidP="002116BF">
      <w:pPr>
        <w:jc w:val="center"/>
        <w:rPr>
          <w:rFonts w:ascii="Times New Roman" w:hAnsi="Times New Roman"/>
          <w:sz w:val="24"/>
        </w:rPr>
      </w:pPr>
    </w:p>
    <w:p w:rsidR="002116BF" w:rsidRDefault="002116BF" w:rsidP="002116BF">
      <w:pPr>
        <w:jc w:val="center"/>
        <w:rPr>
          <w:rFonts w:ascii="Times New Roman" w:hAnsi="Times New Roman"/>
          <w:sz w:val="24"/>
        </w:rPr>
      </w:pPr>
    </w:p>
    <w:p w:rsidR="002116BF" w:rsidRDefault="002116BF" w:rsidP="002116BF">
      <w:pPr>
        <w:jc w:val="center"/>
        <w:rPr>
          <w:rFonts w:ascii="Times New Roman" w:hAnsi="Times New Roman"/>
          <w:sz w:val="24"/>
        </w:rPr>
      </w:pPr>
    </w:p>
    <w:p w:rsidR="002116BF" w:rsidRDefault="002116BF" w:rsidP="002116BF">
      <w:pPr>
        <w:jc w:val="center"/>
        <w:rPr>
          <w:rFonts w:ascii="Times New Roman" w:hAnsi="Times New Roman"/>
          <w:sz w:val="24"/>
        </w:rPr>
      </w:pPr>
    </w:p>
    <w:p w:rsidR="006949D0" w:rsidRDefault="006949D0" w:rsidP="002116BF">
      <w:pPr>
        <w:rPr>
          <w:rFonts w:ascii="Times New Roman" w:hAnsi="Times New Roman"/>
          <w:sz w:val="24"/>
        </w:rPr>
        <w:sectPr w:rsidR="006949D0">
          <w:headerReference w:type="first" r:id="rId11"/>
          <w:pgSz w:w="12240" w:h="15840" w:code="1"/>
          <w:pgMar w:top="1440" w:right="1440" w:bottom="1440" w:left="1440" w:header="720" w:footer="720" w:gutter="0"/>
          <w:cols w:space="720"/>
          <w:titlePg/>
        </w:sectPr>
      </w:pPr>
    </w:p>
    <w:p w:rsidR="002116BF" w:rsidRDefault="006949D0" w:rsidP="00A46E8F">
      <w:pPr>
        <w:spacing w:line="480" w:lineRule="auto"/>
        <w:rPr>
          <w:rFonts w:ascii="Times New Roman" w:hAnsi="Times New Roman"/>
          <w:sz w:val="24"/>
        </w:rPr>
      </w:pPr>
      <w:r>
        <w:rPr>
          <w:noProof/>
        </w:rPr>
        <w:lastRenderedPageBreak/>
        <w:drawing>
          <wp:inline distT="0" distB="0" distL="0" distR="0">
            <wp:extent cx="5919038" cy="6858000"/>
            <wp:effectExtent l="0" t="0" r="0" b="0"/>
            <wp:docPr id="1" name="Picture 1" descr="Signatur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Page"/>
                    <pic:cNvPicPr>
                      <a:picLocks noChangeAspect="1" noChangeArrowheads="1"/>
                    </pic:cNvPicPr>
                  </pic:nvPicPr>
                  <pic:blipFill rotWithShape="1">
                    <a:blip r:embed="rId12">
                      <a:extLst>
                        <a:ext uri="{28A0092B-C50C-407E-A947-70E740481C1C}">
                          <a14:useLocalDpi xmlns:a14="http://schemas.microsoft.com/office/drawing/2010/main" val="0"/>
                        </a:ext>
                      </a:extLst>
                    </a:blip>
                    <a:srcRect b="3357"/>
                    <a:stretch/>
                  </pic:blipFill>
                  <pic:spPr bwMode="auto">
                    <a:xfrm>
                      <a:off x="0" y="0"/>
                      <a:ext cx="5922645" cy="6862179"/>
                    </a:xfrm>
                    <a:prstGeom prst="rect">
                      <a:avLst/>
                    </a:prstGeom>
                    <a:noFill/>
                    <a:ln>
                      <a:noFill/>
                    </a:ln>
                    <a:extLst>
                      <a:ext uri="{53640926-AAD7-44d8-BBD7-CCE9431645EC}">
                        <a14:shadowObscured xmlns:a14="http://schemas.microsoft.com/office/drawing/2010/main"/>
                      </a:ext>
                    </a:extLst>
                  </pic:spPr>
                </pic:pic>
              </a:graphicData>
            </a:graphic>
          </wp:inline>
        </w:drawing>
      </w:r>
    </w:p>
    <w:p w:rsidR="006949D0" w:rsidRDefault="006949D0" w:rsidP="002116BF">
      <w:pPr>
        <w:rPr>
          <w:rFonts w:ascii="Times New Roman" w:hAnsi="Times New Roman"/>
          <w:sz w:val="24"/>
        </w:rPr>
      </w:pPr>
    </w:p>
    <w:p w:rsidR="002116BF" w:rsidRDefault="00CC3903" w:rsidP="002116BF">
      <w:pPr>
        <w:jc w:val="right"/>
        <w:rPr>
          <w:rFonts w:ascii="Times New Roman" w:hAnsi="Times New Roman"/>
          <w:sz w:val="16"/>
          <w:szCs w:val="16"/>
        </w:rPr>
      </w:pPr>
      <w:proofErr w:type="gramStart"/>
      <w:r>
        <w:rPr>
          <w:rFonts w:ascii="Times New Roman" w:hAnsi="Times New Roman"/>
          <w:sz w:val="16"/>
          <w:szCs w:val="16"/>
        </w:rPr>
        <w:t>t</w:t>
      </w:r>
      <w:proofErr w:type="gramEnd"/>
      <w:r>
        <w:rPr>
          <w:rFonts w:ascii="Times New Roman" w:hAnsi="Times New Roman"/>
          <w:sz w:val="16"/>
          <w:szCs w:val="16"/>
        </w:rPr>
        <w:t>:\ochs\2013</w:t>
      </w:r>
      <w:r w:rsidR="002116BF" w:rsidRPr="00100129">
        <w:rPr>
          <w:rFonts w:ascii="Times New Roman" w:hAnsi="Times New Roman"/>
          <w:sz w:val="16"/>
          <w:szCs w:val="16"/>
        </w:rPr>
        <w:t>certification of home consortium</w:t>
      </w:r>
    </w:p>
    <w:p w:rsidR="002116BF" w:rsidRDefault="002116BF" w:rsidP="002116BF">
      <w:pPr>
        <w:rPr>
          <w:rFonts w:ascii="Times New Roman" w:hAnsi="Times New Roman"/>
          <w:sz w:val="16"/>
          <w:szCs w:val="16"/>
        </w:rPr>
        <w:sectPr w:rsidR="002116BF">
          <w:headerReference w:type="first" r:id="rId13"/>
          <w:pgSz w:w="12240" w:h="15840" w:code="1"/>
          <w:pgMar w:top="1440" w:right="1440" w:bottom="1440" w:left="1440" w:header="720" w:footer="720" w:gutter="0"/>
          <w:cols w:space="720"/>
          <w:titlePg/>
        </w:sectPr>
      </w:pPr>
    </w:p>
    <w:p w:rsidR="00952DE9" w:rsidRPr="0097504E" w:rsidRDefault="00952DE9" w:rsidP="0097504E">
      <w:pPr>
        <w:spacing w:line="260" w:lineRule="exact"/>
        <w:rPr>
          <w:sz w:val="20"/>
        </w:rPr>
      </w:pPr>
    </w:p>
    <w:sectPr w:rsidR="00952DE9" w:rsidRPr="0097504E" w:rsidSect="00952DE9">
      <w:headerReference w:type="first" r:id="rId14"/>
      <w:pgSz w:w="12240" w:h="15840"/>
      <w:pgMar w:top="1440" w:right="1440" w:bottom="1440" w:left="1440" w:header="432"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6BF" w:rsidRDefault="002116BF" w:rsidP="001801B8">
      <w:r>
        <w:separator/>
      </w:r>
    </w:p>
  </w:endnote>
  <w:endnote w:type="continuationSeparator" w:id="0">
    <w:p w:rsidR="002116BF" w:rsidRDefault="002116BF" w:rsidP="00180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G Times">
    <w:altName w:val="Times New Roman"/>
    <w:panose1 w:val="00000000000000000000"/>
    <w:charset w:val="00"/>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6BF" w:rsidRDefault="002116BF" w:rsidP="001801B8">
      <w:r>
        <w:separator/>
      </w:r>
    </w:p>
  </w:footnote>
  <w:footnote w:type="continuationSeparator" w:id="0">
    <w:p w:rsidR="002116BF" w:rsidRDefault="002116BF" w:rsidP="001801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BF" w:rsidRDefault="00A97754">
    <w:pPr>
      <w:pStyle w:val="Header"/>
    </w:pPr>
    <w:r>
      <w:rPr>
        <w:noProof/>
      </w:rPr>
      <w:drawing>
        <wp:inline distT="0" distB="0" distL="0" distR="0" wp14:anchorId="460253B9" wp14:editId="6252B2DA">
          <wp:extent cx="5943600" cy="1729740"/>
          <wp:effectExtent l="0" t="0" r="0" b="0"/>
          <wp:docPr id="5" name="Picture 1" descr="ihda b&amp;w memorandum head FI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da b&amp;w memorandum head FIT3.jpg"/>
                  <pic:cNvPicPr/>
                </pic:nvPicPr>
                <pic:blipFill>
                  <a:blip r:embed="rId1"/>
                  <a:stretch>
                    <a:fillRect/>
                  </a:stretch>
                </pic:blipFill>
                <pic:spPr>
                  <a:xfrm>
                    <a:off x="0" y="0"/>
                    <a:ext cx="5943600" cy="1729740"/>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BF" w:rsidRPr="00A914E7" w:rsidRDefault="002116BF" w:rsidP="001116C9">
    <w:pPr>
      <w:pStyle w:val="Header"/>
      <w:jc w:val="right"/>
      <w:rPr>
        <w:b/>
      </w:rPr>
    </w:pPr>
    <w:r w:rsidRPr="00A914E7">
      <w:rPr>
        <w:b/>
      </w:rPr>
      <w:t>Attachment A</w:t>
    </w:r>
  </w:p>
  <w:p w:rsidR="002116BF" w:rsidRDefault="002116B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BF" w:rsidRPr="00A914E7" w:rsidRDefault="002116BF" w:rsidP="001116C9">
    <w:pPr>
      <w:pStyle w:val="Header"/>
      <w:jc w:val="right"/>
      <w:rPr>
        <w:b/>
      </w:rPr>
    </w:pPr>
    <w:r>
      <w:rPr>
        <w:b/>
      </w:rPr>
      <w:t>Attachment B</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9D0" w:rsidRPr="00A914E7" w:rsidRDefault="006949D0" w:rsidP="001116C9">
    <w:pPr>
      <w:pStyle w:val="Header"/>
      <w:jc w:val="right"/>
      <w:rPr>
        <w:b/>
      </w:rPr>
    </w:pPr>
    <w:r>
      <w:rPr>
        <w:b/>
      </w:rPr>
      <w:t>Attachment C</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03D" w:rsidRDefault="00B9503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1"/>
      <w:lvlText w:val="(%1)"/>
      <w:lvlJc w:val="left"/>
      <w:pPr>
        <w:tabs>
          <w:tab w:val="num" w:pos="3600"/>
        </w:tabs>
      </w:pPr>
      <w:rPr>
        <w:rFonts w:ascii="Times New Roman" w:hAnsi="Times New Roman" w:cs="Times New Roman"/>
        <w:sz w:val="20"/>
        <w:szCs w:val="20"/>
      </w:rPr>
    </w:lvl>
  </w:abstractNum>
  <w:abstractNum w:abstractNumId="1">
    <w:nsid w:val="00000002"/>
    <w:multiLevelType w:val="multilevel"/>
    <w:tmpl w:val="00000000"/>
    <w:lvl w:ilvl="0">
      <w:start w:val="1"/>
      <w:numFmt w:val="decimal"/>
      <w:pStyle w:val="Level1"/>
      <w:lvlText w:val="(%1)"/>
      <w:lvlJc w:val="left"/>
      <w:pPr>
        <w:tabs>
          <w:tab w:val="num" w:pos="3600"/>
        </w:tabs>
        <w:ind w:left="360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52927E65"/>
    <w:multiLevelType w:val="hybridMultilevel"/>
    <w:tmpl w:val="37E6E660"/>
    <w:lvl w:ilvl="0" w:tplc="5416574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lvlOverride w:ilvl="0">
      <w:startOverride w:val="3"/>
      <w:lvl w:ilvl="0">
        <w:start w:val="3"/>
        <w:numFmt w:val="decimal"/>
        <w:pStyle w:val="1"/>
        <w:lvlText w:val="(%1)"/>
        <w:lvlJc w:val="left"/>
      </w:lvl>
    </w:lvlOverride>
  </w:num>
  <w:num w:numId="3">
    <w:abstractNumId w:val="1"/>
    <w:lvlOverride w:ilvl="0">
      <w:startOverride w:val="35"/>
      <w:lvl w:ilvl="0">
        <w:start w:val="3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6BF"/>
    <w:rsid w:val="00000A6B"/>
    <w:rsid w:val="00012F07"/>
    <w:rsid w:val="000A77D8"/>
    <w:rsid w:val="000D20D0"/>
    <w:rsid w:val="001801B8"/>
    <w:rsid w:val="00185669"/>
    <w:rsid w:val="001A37D9"/>
    <w:rsid w:val="001D7478"/>
    <w:rsid w:val="002116BF"/>
    <w:rsid w:val="00232C10"/>
    <w:rsid w:val="00253048"/>
    <w:rsid w:val="00262BB4"/>
    <w:rsid w:val="002648F4"/>
    <w:rsid w:val="00294214"/>
    <w:rsid w:val="003050D9"/>
    <w:rsid w:val="003A7D29"/>
    <w:rsid w:val="003F07E9"/>
    <w:rsid w:val="00427604"/>
    <w:rsid w:val="00481590"/>
    <w:rsid w:val="00503238"/>
    <w:rsid w:val="00550C95"/>
    <w:rsid w:val="005E7F00"/>
    <w:rsid w:val="006949D0"/>
    <w:rsid w:val="00793814"/>
    <w:rsid w:val="007977A1"/>
    <w:rsid w:val="008E14DD"/>
    <w:rsid w:val="008F2DD9"/>
    <w:rsid w:val="009052B0"/>
    <w:rsid w:val="00952DE9"/>
    <w:rsid w:val="0097504E"/>
    <w:rsid w:val="009A6091"/>
    <w:rsid w:val="00A46E8F"/>
    <w:rsid w:val="00A97754"/>
    <w:rsid w:val="00B3157F"/>
    <w:rsid w:val="00B9503D"/>
    <w:rsid w:val="00C42D44"/>
    <w:rsid w:val="00CA7A9B"/>
    <w:rsid w:val="00CC3903"/>
    <w:rsid w:val="00DE3E9C"/>
    <w:rsid w:val="00DE4E98"/>
    <w:rsid w:val="00E1146E"/>
    <w:rsid w:val="00E16FCD"/>
    <w:rsid w:val="00EC6FEA"/>
    <w:rsid w:val="00F27937"/>
    <w:rsid w:val="00F50AA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6BF"/>
    <w:rPr>
      <w:rFonts w:ascii="Arial" w:eastAsia="Times New Roman" w:hAnsi="Arial" w:cs="Times New Roman"/>
      <w:sz w:val="22"/>
    </w:rPr>
  </w:style>
  <w:style w:type="paragraph" w:styleId="Heading2">
    <w:name w:val="heading 2"/>
    <w:basedOn w:val="Normal"/>
    <w:next w:val="Normal"/>
    <w:link w:val="Heading2Char"/>
    <w:qFormat/>
    <w:rsid w:val="002116BF"/>
    <w:pPr>
      <w:keepNext/>
      <w:widowControl w:val="0"/>
      <w:tabs>
        <w:tab w:val="center" w:pos="4680"/>
      </w:tabs>
      <w:autoSpaceDE w:val="0"/>
      <w:autoSpaceDN w:val="0"/>
      <w:adjustRightInd w:val="0"/>
      <w:jc w:val="center"/>
      <w:outlineLvl w:val="1"/>
    </w:pPr>
    <w:rPr>
      <w:rFonts w:ascii="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02145"/>
    <w:rPr>
      <w:rFonts w:ascii="Lucida Grande" w:hAnsi="Lucida Grande"/>
      <w:sz w:val="18"/>
      <w:szCs w:val="18"/>
    </w:rPr>
  </w:style>
  <w:style w:type="paragraph" w:styleId="Header">
    <w:name w:val="header"/>
    <w:basedOn w:val="Normal"/>
    <w:link w:val="HeaderChar"/>
    <w:unhideWhenUsed/>
    <w:rsid w:val="009A6091"/>
    <w:pPr>
      <w:tabs>
        <w:tab w:val="center" w:pos="4320"/>
        <w:tab w:val="right" w:pos="8640"/>
      </w:tabs>
    </w:pPr>
  </w:style>
  <w:style w:type="character" w:customStyle="1" w:styleId="HeaderChar">
    <w:name w:val="Header Char"/>
    <w:basedOn w:val="DefaultParagraphFont"/>
    <w:link w:val="Header"/>
    <w:uiPriority w:val="99"/>
    <w:semiHidden/>
    <w:rsid w:val="009A6091"/>
    <w:rPr>
      <w:sz w:val="24"/>
      <w:szCs w:val="24"/>
    </w:rPr>
  </w:style>
  <w:style w:type="paragraph" w:styleId="Footer">
    <w:name w:val="footer"/>
    <w:basedOn w:val="Normal"/>
    <w:link w:val="FooterChar"/>
    <w:uiPriority w:val="99"/>
    <w:unhideWhenUsed/>
    <w:rsid w:val="009A6091"/>
    <w:pPr>
      <w:tabs>
        <w:tab w:val="center" w:pos="4320"/>
        <w:tab w:val="right" w:pos="8640"/>
      </w:tabs>
    </w:pPr>
  </w:style>
  <w:style w:type="character" w:customStyle="1" w:styleId="FooterChar">
    <w:name w:val="Footer Char"/>
    <w:basedOn w:val="DefaultParagraphFont"/>
    <w:link w:val="Footer"/>
    <w:uiPriority w:val="99"/>
    <w:rsid w:val="009A6091"/>
    <w:rPr>
      <w:sz w:val="24"/>
      <w:szCs w:val="24"/>
    </w:rPr>
  </w:style>
  <w:style w:type="paragraph" w:styleId="MessageHeader">
    <w:name w:val="Message Header"/>
    <w:basedOn w:val="BodyText"/>
    <w:link w:val="MessageHeaderChar"/>
    <w:rsid w:val="002116BF"/>
    <w:pPr>
      <w:keepLines/>
      <w:spacing w:line="180" w:lineRule="atLeast"/>
      <w:ind w:left="720" w:hanging="720"/>
    </w:pPr>
    <w:rPr>
      <w:spacing w:val="-5"/>
    </w:rPr>
  </w:style>
  <w:style w:type="character" w:customStyle="1" w:styleId="MessageHeaderChar">
    <w:name w:val="Message Header Char"/>
    <w:basedOn w:val="DefaultParagraphFont"/>
    <w:link w:val="MessageHeader"/>
    <w:rsid w:val="002116BF"/>
    <w:rPr>
      <w:rFonts w:ascii="Arial" w:eastAsia="Times New Roman" w:hAnsi="Arial" w:cs="Times New Roman"/>
      <w:spacing w:val="-5"/>
      <w:sz w:val="22"/>
    </w:rPr>
  </w:style>
  <w:style w:type="paragraph" w:styleId="BodyText">
    <w:name w:val="Body Text"/>
    <w:basedOn w:val="Normal"/>
    <w:link w:val="BodyTextChar"/>
    <w:uiPriority w:val="99"/>
    <w:semiHidden/>
    <w:unhideWhenUsed/>
    <w:rsid w:val="002116BF"/>
    <w:pPr>
      <w:spacing w:after="120"/>
    </w:pPr>
  </w:style>
  <w:style w:type="character" w:customStyle="1" w:styleId="BodyTextChar">
    <w:name w:val="Body Text Char"/>
    <w:basedOn w:val="DefaultParagraphFont"/>
    <w:link w:val="BodyText"/>
    <w:uiPriority w:val="99"/>
    <w:semiHidden/>
    <w:rsid w:val="002116BF"/>
    <w:rPr>
      <w:rFonts w:ascii="Arial" w:eastAsia="Times New Roman" w:hAnsi="Arial" w:cs="Times New Roman"/>
      <w:sz w:val="22"/>
    </w:rPr>
  </w:style>
  <w:style w:type="character" w:customStyle="1" w:styleId="Heading2Char">
    <w:name w:val="Heading 2 Char"/>
    <w:basedOn w:val="DefaultParagraphFont"/>
    <w:link w:val="Heading2"/>
    <w:rsid w:val="002116BF"/>
    <w:rPr>
      <w:rFonts w:ascii="Times New Roman" w:eastAsia="Times New Roman" w:hAnsi="Times New Roman" w:cs="Times New Roman"/>
      <w:b/>
      <w:bCs/>
      <w:sz w:val="24"/>
      <w:szCs w:val="24"/>
      <w:u w:val="single"/>
    </w:rPr>
  </w:style>
  <w:style w:type="paragraph" w:customStyle="1" w:styleId="1">
    <w:name w:val="1"/>
    <w:aliases w:val="2,3"/>
    <w:basedOn w:val="Normal"/>
    <w:rsid w:val="002116BF"/>
    <w:pPr>
      <w:widowControl w:val="0"/>
      <w:numPr>
        <w:numId w:val="2"/>
      </w:numPr>
      <w:autoSpaceDE w:val="0"/>
      <w:autoSpaceDN w:val="0"/>
      <w:adjustRightInd w:val="0"/>
      <w:ind w:left="3600" w:hanging="720"/>
    </w:pPr>
    <w:rPr>
      <w:rFonts w:ascii="Times New Roman" w:hAnsi="Times New Roman"/>
      <w:sz w:val="20"/>
      <w:szCs w:val="24"/>
    </w:rPr>
  </w:style>
  <w:style w:type="paragraph" w:customStyle="1" w:styleId="Level1">
    <w:name w:val="Level 1"/>
    <w:basedOn w:val="Normal"/>
    <w:rsid w:val="002116BF"/>
    <w:pPr>
      <w:widowControl w:val="0"/>
      <w:numPr>
        <w:numId w:val="3"/>
      </w:numPr>
      <w:autoSpaceDE w:val="0"/>
      <w:autoSpaceDN w:val="0"/>
      <w:adjustRightInd w:val="0"/>
      <w:ind w:left="3600" w:hanging="720"/>
      <w:outlineLvl w:val="0"/>
    </w:pPr>
    <w:rPr>
      <w:rFonts w:ascii="Times New Roman" w:hAnsi="Times New Roman"/>
      <w:sz w:val="2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6BF"/>
    <w:rPr>
      <w:rFonts w:ascii="Arial" w:eastAsia="Times New Roman" w:hAnsi="Arial" w:cs="Times New Roman"/>
      <w:sz w:val="22"/>
    </w:rPr>
  </w:style>
  <w:style w:type="paragraph" w:styleId="Heading2">
    <w:name w:val="heading 2"/>
    <w:basedOn w:val="Normal"/>
    <w:next w:val="Normal"/>
    <w:link w:val="Heading2Char"/>
    <w:qFormat/>
    <w:rsid w:val="002116BF"/>
    <w:pPr>
      <w:keepNext/>
      <w:widowControl w:val="0"/>
      <w:tabs>
        <w:tab w:val="center" w:pos="4680"/>
      </w:tabs>
      <w:autoSpaceDE w:val="0"/>
      <w:autoSpaceDN w:val="0"/>
      <w:adjustRightInd w:val="0"/>
      <w:jc w:val="center"/>
      <w:outlineLvl w:val="1"/>
    </w:pPr>
    <w:rPr>
      <w:rFonts w:ascii="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02145"/>
    <w:rPr>
      <w:rFonts w:ascii="Lucida Grande" w:hAnsi="Lucida Grande"/>
      <w:sz w:val="18"/>
      <w:szCs w:val="18"/>
    </w:rPr>
  </w:style>
  <w:style w:type="paragraph" w:styleId="Header">
    <w:name w:val="header"/>
    <w:basedOn w:val="Normal"/>
    <w:link w:val="HeaderChar"/>
    <w:unhideWhenUsed/>
    <w:rsid w:val="009A6091"/>
    <w:pPr>
      <w:tabs>
        <w:tab w:val="center" w:pos="4320"/>
        <w:tab w:val="right" w:pos="8640"/>
      </w:tabs>
    </w:pPr>
  </w:style>
  <w:style w:type="character" w:customStyle="1" w:styleId="HeaderChar">
    <w:name w:val="Header Char"/>
    <w:basedOn w:val="DefaultParagraphFont"/>
    <w:link w:val="Header"/>
    <w:uiPriority w:val="99"/>
    <w:semiHidden/>
    <w:rsid w:val="009A6091"/>
    <w:rPr>
      <w:sz w:val="24"/>
      <w:szCs w:val="24"/>
    </w:rPr>
  </w:style>
  <w:style w:type="paragraph" w:styleId="Footer">
    <w:name w:val="footer"/>
    <w:basedOn w:val="Normal"/>
    <w:link w:val="FooterChar"/>
    <w:uiPriority w:val="99"/>
    <w:unhideWhenUsed/>
    <w:rsid w:val="009A6091"/>
    <w:pPr>
      <w:tabs>
        <w:tab w:val="center" w:pos="4320"/>
        <w:tab w:val="right" w:pos="8640"/>
      </w:tabs>
    </w:pPr>
  </w:style>
  <w:style w:type="character" w:customStyle="1" w:styleId="FooterChar">
    <w:name w:val="Footer Char"/>
    <w:basedOn w:val="DefaultParagraphFont"/>
    <w:link w:val="Footer"/>
    <w:uiPriority w:val="99"/>
    <w:rsid w:val="009A6091"/>
    <w:rPr>
      <w:sz w:val="24"/>
      <w:szCs w:val="24"/>
    </w:rPr>
  </w:style>
  <w:style w:type="paragraph" w:styleId="MessageHeader">
    <w:name w:val="Message Header"/>
    <w:basedOn w:val="BodyText"/>
    <w:link w:val="MessageHeaderChar"/>
    <w:rsid w:val="002116BF"/>
    <w:pPr>
      <w:keepLines/>
      <w:spacing w:line="180" w:lineRule="atLeast"/>
      <w:ind w:left="720" w:hanging="720"/>
    </w:pPr>
    <w:rPr>
      <w:spacing w:val="-5"/>
    </w:rPr>
  </w:style>
  <w:style w:type="character" w:customStyle="1" w:styleId="MessageHeaderChar">
    <w:name w:val="Message Header Char"/>
    <w:basedOn w:val="DefaultParagraphFont"/>
    <w:link w:val="MessageHeader"/>
    <w:rsid w:val="002116BF"/>
    <w:rPr>
      <w:rFonts w:ascii="Arial" w:eastAsia="Times New Roman" w:hAnsi="Arial" w:cs="Times New Roman"/>
      <w:spacing w:val="-5"/>
      <w:sz w:val="22"/>
    </w:rPr>
  </w:style>
  <w:style w:type="paragraph" w:styleId="BodyText">
    <w:name w:val="Body Text"/>
    <w:basedOn w:val="Normal"/>
    <w:link w:val="BodyTextChar"/>
    <w:uiPriority w:val="99"/>
    <w:semiHidden/>
    <w:unhideWhenUsed/>
    <w:rsid w:val="002116BF"/>
    <w:pPr>
      <w:spacing w:after="120"/>
    </w:pPr>
  </w:style>
  <w:style w:type="character" w:customStyle="1" w:styleId="BodyTextChar">
    <w:name w:val="Body Text Char"/>
    <w:basedOn w:val="DefaultParagraphFont"/>
    <w:link w:val="BodyText"/>
    <w:uiPriority w:val="99"/>
    <w:semiHidden/>
    <w:rsid w:val="002116BF"/>
    <w:rPr>
      <w:rFonts w:ascii="Arial" w:eastAsia="Times New Roman" w:hAnsi="Arial" w:cs="Times New Roman"/>
      <w:sz w:val="22"/>
    </w:rPr>
  </w:style>
  <w:style w:type="character" w:customStyle="1" w:styleId="Heading2Char">
    <w:name w:val="Heading 2 Char"/>
    <w:basedOn w:val="DefaultParagraphFont"/>
    <w:link w:val="Heading2"/>
    <w:rsid w:val="002116BF"/>
    <w:rPr>
      <w:rFonts w:ascii="Times New Roman" w:eastAsia="Times New Roman" w:hAnsi="Times New Roman" w:cs="Times New Roman"/>
      <w:b/>
      <w:bCs/>
      <w:sz w:val="24"/>
      <w:szCs w:val="24"/>
      <w:u w:val="single"/>
    </w:rPr>
  </w:style>
  <w:style w:type="paragraph" w:customStyle="1" w:styleId="1">
    <w:name w:val="1"/>
    <w:aliases w:val="2,3"/>
    <w:basedOn w:val="Normal"/>
    <w:rsid w:val="002116BF"/>
    <w:pPr>
      <w:widowControl w:val="0"/>
      <w:numPr>
        <w:numId w:val="2"/>
      </w:numPr>
      <w:autoSpaceDE w:val="0"/>
      <w:autoSpaceDN w:val="0"/>
      <w:adjustRightInd w:val="0"/>
      <w:ind w:left="3600" w:hanging="720"/>
    </w:pPr>
    <w:rPr>
      <w:rFonts w:ascii="Times New Roman" w:hAnsi="Times New Roman"/>
      <w:sz w:val="20"/>
      <w:szCs w:val="24"/>
    </w:rPr>
  </w:style>
  <w:style w:type="paragraph" w:customStyle="1" w:styleId="Level1">
    <w:name w:val="Level 1"/>
    <w:basedOn w:val="Normal"/>
    <w:rsid w:val="002116BF"/>
    <w:pPr>
      <w:widowControl w:val="0"/>
      <w:numPr>
        <w:numId w:val="3"/>
      </w:numPr>
      <w:autoSpaceDE w:val="0"/>
      <w:autoSpaceDN w:val="0"/>
      <w:adjustRightInd w:val="0"/>
      <w:ind w:left="3600" w:hanging="720"/>
      <w:outlineLvl w:val="0"/>
    </w:pPr>
    <w:rPr>
      <w:rFonts w:ascii="Times New Roman"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image" Target="media/image2.png"/><Relationship Id="rId13" Type="http://schemas.openxmlformats.org/officeDocument/2006/relationships/header" Target="header4.xml"/><Relationship Id="rId14" Type="http://schemas.openxmlformats.org/officeDocument/2006/relationships/header" Target="header5.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mso2000\Templates\IHDA%20Memos\Memorandum%20version%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96454-4B76-1442-BCE6-27C754F15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\mso2000\Templates\IHDA Memos\Memorandum version </Template>
  <TotalTime>1</TotalTime>
  <Pages>7</Pages>
  <Words>1728</Words>
  <Characters>9853</Characters>
  <Application>Microsoft Macintosh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Illinois Housing Development Authority</Company>
  <LinksUpToDate>false</LinksUpToDate>
  <CharactersWithSpaces>11558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bhughes</dc:creator>
  <cp:lastModifiedBy>Andy Gutowski</cp:lastModifiedBy>
  <cp:revision>2</cp:revision>
  <cp:lastPrinted>2013-06-04T20:31:00Z</cp:lastPrinted>
  <dcterms:created xsi:type="dcterms:W3CDTF">2016-03-17T16:47:00Z</dcterms:created>
  <dcterms:modified xsi:type="dcterms:W3CDTF">2016-03-17T16:47:00Z</dcterms:modified>
</cp:coreProperties>
</file>